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22 naturvårdsarter, varav 13 är rödlistade, 10 är fridlysta, 16 är typiska (T) och 5 är signalarter (S): garnlav (VU, T), brunpudrad nållav (NT, T), dvärgbägarlav (NT, T), gammelgransskål (NT, T), lavskrika (NT, T, §4), lunglav (NT, T), rödvingetrast (NT, §4), skrovellav (NT, T), talltita (NT, §4), tretåig hackspett (NT, T, §4), ullticka (NT, T), violettgrå tagellav (NT, T), vitgrynig nållav (NT), bronshjon (S, T), korallrot (S, T, §8), källpraktmossa (S, T), norrlandslav (S, T), plattlummer (S, T, §9),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tretåig hackspett (NT, T, §4), ullticka (NT, T), violettgrå tagellav (NT, T), bronshjon (S, T), korallrot (S, T, §8), källpraktmossa (S, T), norrlandslav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