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3187-2025 i Bergs kommun</w:t>
      </w:r>
    </w:p>
    <w:p>
      <w:r>
        <w:t>Detta klagomål behandlar höga naturvärden i avverkningsanmälan A 3187-2025 i Bergs kommun som inkom 2025-01-22 och omfattar 4,2 ha.</w:t>
      </w:r>
    </w:p>
    <w:p>
      <w:pPr>
        <w:pStyle w:val="Caption"/>
      </w:pPr>
      <w:r>
        <w:drawing>
          <wp:inline xmlns:a="http://schemas.openxmlformats.org/drawingml/2006/main" xmlns:pic="http://schemas.openxmlformats.org/drawingml/2006/picture">
            <wp:extent cx="5486400" cy="4473361"/>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4733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6918315, E 488890 i SWEREF 99 TM.</w:t>
      </w:r>
    </w:p>
    <w:p>
      <w:r>
        <w:t>I och inom 24 meter från avverkningsanmälan finns fynd av 15 naturvårdsarter, varav 14 är rödlistade, 10 är typiska (T) och 1 är signalart (S): fläckporing (VU, T), goliatmusseron (VU, T), gräddporing (VU, T), dropptaggsvamp (NT, T), dvärgbägarlav (NT, T), knottrig blåslav (NT, T), kolflarnlav (NT, T), mörk kolflarnlav (NT), nordtagging (NT), orange taggsvamp (NT, T), skarp dropptaggsvamp (NT), vaddporing (NT),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