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21370-2025 i Bergs kommun</w:t>
      </w:r>
    </w:p>
    <w:p>
      <w:r>
        <w:t>Detta klagomål behandlar höga naturvärden i avverkningsanmälan A 21370-2025 i Bergs kommun som inkom 2025-05-05 och omfattar 14,6 ha.</w:t>
      </w:r>
    </w:p>
    <w:p>
      <w:pPr>
        <w:pStyle w:val="Caption"/>
      </w:pPr>
      <w:r>
        <w:drawing>
          <wp:inline xmlns:a="http://schemas.openxmlformats.org/drawingml/2006/main" xmlns:pic="http://schemas.openxmlformats.org/drawingml/2006/picture">
            <wp:extent cx="5486400" cy="5703216"/>
            <wp:docPr id="1" name="Picture 1"/>
            <wp:cNvGraphicFramePr>
              <a:graphicFrameLocks noChangeAspect="1"/>
            </wp:cNvGraphicFramePr>
            <a:graphic>
              <a:graphicData uri="http://schemas.openxmlformats.org/drawingml/2006/picture">
                <pic:pic>
                  <pic:nvPicPr>
                    <pic:cNvPr id="0" name="A 21370-2025 karta.png"/>
                    <pic:cNvPicPr/>
                  </pic:nvPicPr>
                  <pic:blipFill>
                    <a:blip r:embed="rId16"/>
                    <a:stretch>
                      <a:fillRect/>
                    </a:stretch>
                  </pic:blipFill>
                  <pic:spPr>
                    <a:xfrm>
                      <a:off x="0" y="0"/>
                      <a:ext cx="5486400" cy="5703216"/>
                    </a:xfrm>
                    <a:prstGeom prst="rect"/>
                  </pic:spPr>
                </pic:pic>
              </a:graphicData>
            </a:graphic>
          </wp:inline>
        </w:drawing>
      </w:r>
    </w:p>
    <w:p>
      <w:pPr>
        <w:pStyle w:val="Caption"/>
        <w:spacing w:after="240"/>
      </w:pPr>
      <w:r>
        <w:t>Figur 1. Fyndplatser för naturvårdsarter i och inom 23 meter från avverkningsanmälan. Markörer utan svart kant är placerade på fyndplatsen. Markörer med svart kant är placerade vid sidan av fyndplatsen och har ett svart streck som visar fyndplatsens exakta position. Kartans mittpunktskoordinat är N 6965810, E 412587 i SWEREF 99 TM.</w:t>
      </w:r>
    </w:p>
    <w:p>
      <w:r>
        <w:t>I och inom 23 meter från avverkningsanmälan finns fynd av 10 naturvårdsarter, varav 8 är rödlistade, 2 är fridlysta, 7 är typiska (T) och 2 är signalarter (S): garnlav (VU, T), gräddporing (VU, T), blanksvart spiklav (NT), kolflarnlav (NT, T), skarp dropptaggsvamp (NT), talltagel (NT, T), talltita (NT, §4), tretåig hackspett (NT, T, §4), norrlandslav (S, T) och vedticka (S,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Gräddporing (VU)</w:t>
      </w:r>
      <w:r>
        <w:t xml:space="preserve"> växer nästan enbart i urskogsartad barrskog på gamla, kraftigt murkna, grova och mossbelupna tallågor i något fuktiga och skuggiga lägen. Arten är placerad högst upp i Skogsstyrelsens värdepyramid för bedömning av skog med höga naturvärden och indikerar gamla och relativt orörda tallnaturskogar med höga naturvärden där det under låg tid kontinuerligt funnits inslag av grova tallågor. För att på sikt hejda artens vikande trend behöver merparten av gräddporingens nu kända växtplatser undantas från skogsbruk. Gräddporing är typisk art för </w:t>
      </w:r>
      <w:r>
        <w:rPr>
          <w:i/>
        </w:rPr>
        <w:t>9010 Taiga</w:t>
      </w:r>
      <w:r>
        <w:t xml:space="preserve"> (SLU Artdatabanken, 2024; Nitare &amp; Skogsstyrelsen, 2019).</w:t>
      </w:r>
    </w:p>
    <w:p>
      <w:r>
        <w:rPr>
          <w:b/>
        </w:rPr>
        <w:t>Blanksvart spiklav (NT)</w:t>
      </w:r>
      <w:r>
        <w:t xml:space="preserve"> förekommer på torr, hård, gammal kärnved men även på äldre ytved av tall i naturskogsartade bestånd med begränsad brandpåverkan och ostörd hydrologi. Skogsbruksåtgärder på eller i närheten av lokaler med blanksvart spiklav utgör ett hot. Naturskogsartade öppna tall- och barrblandskogar med blanksvart spiklav indikerar höga biologiska värden och bör bevaras (SLU Artdatabanken, 2024).</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Kolflarnlav är typisk art för </w:t>
      </w:r>
      <w:r>
        <w:rPr>
          <w:i/>
        </w:rPr>
        <w:t>9010 Taiga</w:t>
      </w:r>
      <w:r>
        <w:t xml:space="preserve"> (SLU Artdatabanken, 2024).</w:t>
      </w:r>
    </w:p>
    <w:p>
      <w:r>
        <w:rPr>
          <w:b/>
        </w:rPr>
        <w:t xml:space="preserve">Skarp dropptaggsvamp (NT) </w:t>
      </w:r>
      <w:r>
        <w:t>bildar mykorrhiza med både gran och tall, främst i barrskogar med trädkontinuitet. Arten uppträder dels i näringsrik kalkbarrskog och dels i sur lavtallskog. Kalkbarrskogarna är ofta grandominerade, olikåldriga och skiktade på frisk mark med ett örtrikt vegetationsskikt. Lavtallskogarna är i regel magra, torra, ljusöppna och ofta brandpräglade. Den totala populationen i landet har minskat och bedöms fortsätta minska till följd av avverkning av äldre barrskogar. Arten har begränsad förmåga att återetablera sig efter slutavverkning eller andra storskaliga skogsbruksåtgärder. Det saknas indikationer på att arten långsiktigt kan etablera eller reproducera sig i skogsbestånd som brukas med metoder som trakthyggesbruk, markberedning, gödsling eller föryngring med förädlat plantmaterial. Minskningstakten för den svenska populationen bedöms vara nära gränsvärdet för Sårbar (VU) (SLU Artdatabanken, 2026).</w:t>
      </w:r>
    </w:p>
    <w:p>
      <w:r>
        <w:rPr>
          <w:b/>
        </w:rPr>
        <w:t>Talltagel (NT)</w:t>
      </w:r>
      <w:r>
        <w:t xml:space="preserve"> är en boreal art som förekommer på tall i äldre, öppna tallskogar. Den påverkas negativt av brist på kontinuitetsskog och minskningstakten bedöms vara nära gränsvärdet för Sårbar (VU). Talltagel är typisk art för </w:t>
      </w:r>
      <w:r>
        <w:rPr>
          <w:i/>
        </w:rPr>
        <w:t>9010 Taiga</w:t>
      </w:r>
      <w:r>
        <w:t xml:space="preserve"> (SLU Artdatabanken, 2026).</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rPr>
          <w:b/>
        </w:rPr>
        <w:t xml:space="preserve">Norrlandslav </w:t>
      </w:r>
      <w:r>
        <w:t xml:space="preserve">indikerar söder om den naturliga norrlandsgränsen barrskogsbeklädda bergbranter eller andra ostörda skogsmiljöer med höga naturvärden. Norrlandslav är typisk art för </w:t>
      </w:r>
      <w:r>
        <w:rPr>
          <w:i/>
        </w:rPr>
        <w:t xml:space="preserve">9010 Taiga, 8110 Silikatrasmarker </w:t>
      </w:r>
      <w:r>
        <w:t>och</w:t>
      </w:r>
      <w:r>
        <w:rPr>
          <w:i/>
        </w:rPr>
        <w:t xml:space="preserve"> 8120 Kalkrasmarker </w:t>
      </w:r>
      <w:r>
        <w:t>(Nitare &amp; Skogsstyrelsen, 2000; SLU Artdatabanken, 2025).</w:t>
      </w:r>
    </w:p>
    <w:p>
      <w:r>
        <w:rPr>
          <w:b/>
        </w:rPr>
        <w:t xml:space="preserve">Vedticka </w:t>
      </w:r>
      <w:r>
        <w:t xml:space="preserve">är en bra signalart söder om den naturliga norrlandsgränsen. Den är huvudsakligen knuten till äldre barrskogar där det föreligger långvarig kontinuitet av död barrved. Vedticka är typisk art för </w:t>
      </w:r>
      <w:r>
        <w:rPr>
          <w:i/>
        </w:rPr>
        <w:t xml:space="preserve">9010 Taiga </w:t>
      </w:r>
      <w:r>
        <w:t>(Nitare &amp; Skogsstyrelsen, 2019;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10 naturvårdsarter varav 8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2026-10-03</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