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och inom 17 meter från avverkningsanmälan finns fynd av 13 naturvårdsarter, varav 12 är rödlistade, 2 är fridlysta, 9 är typiska (T) och 1 är signalart (S): garnlav (VU, T), blanksvart spiklav (NT), blågrå svartspik (NT), dvärgbägarlav (NT, T), lavskrika (NT, T, §4), rosenticka (NT, T), talltagel (NT, T), tretåig hackspett (NT, T, §4), ullticka (NT, T), vedflamlav (NT), vedskivlav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