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23 meter från avverkningsanmälan finns fynd av 19 naturvårdsarter, varav 16 är rödlistade, 2 är fridlysta, 11 är typiska (T) och 3 är signalarter (S): fläckporing (VU, T), gräddporing (VU, T), laxgröppa (VU), blanksvart spiklav (NT), blågrå svartspik (NT), dvärgbägarlav (NT, T), kolflarnlav (NT, T), lavskrika (NT, T, §4), mörk kolflarnlav (NT), nordtagging (NT), talltagel (NT, T), vaddporing (NT), vedflamlav (NT), vedskivlav (NT, T), violmussling (NT, T), vitplätt (NT),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lavskrika (NT, T, §4), talltagel (NT, T), vedskivlav (NT, T), violmussling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