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38116-2024 i Bergs kommun</w:t>
      </w:r>
    </w:p>
    <w:p>
      <w:r>
        <w:t>Detta klagomål behandlar höga naturvärden i avverkningsanmälan A 38116-2024 i Bergs kommun som inkom 2024-09-10 och omfattar 15,2 ha.</w:t>
      </w:r>
    </w:p>
    <w:p>
      <w:pPr>
        <w:pStyle w:val="Caption"/>
      </w:pPr>
      <w:r>
        <w:drawing>
          <wp:inline xmlns:a="http://schemas.openxmlformats.org/drawingml/2006/main" xmlns:pic="http://schemas.openxmlformats.org/drawingml/2006/picture">
            <wp:extent cx="5486400" cy="5448950"/>
            <wp:docPr id="1" name="Picture 1"/>
            <wp:cNvGraphicFramePr>
              <a:graphicFrameLocks noChangeAspect="1"/>
            </wp:cNvGraphicFramePr>
            <a:graphic>
              <a:graphicData uri="http://schemas.openxmlformats.org/drawingml/2006/picture">
                <pic:pic>
                  <pic:nvPicPr>
                    <pic:cNvPr id="0" name="A 38116-2024 karta.png"/>
                    <pic:cNvPicPr/>
                  </pic:nvPicPr>
                  <pic:blipFill>
                    <a:blip r:embed="rId16"/>
                    <a:stretch>
                      <a:fillRect/>
                    </a:stretch>
                  </pic:blipFill>
                  <pic:spPr>
                    <a:xfrm>
                      <a:off x="0" y="0"/>
                      <a:ext cx="5486400" cy="5448950"/>
                    </a:xfrm>
                    <a:prstGeom prst="rect"/>
                  </pic:spPr>
                </pic:pic>
              </a:graphicData>
            </a:graphic>
          </wp:inline>
        </w:drawing>
      </w:r>
    </w:p>
    <w:p>
      <w:pPr>
        <w:pStyle w:val="Caption"/>
        <w:spacing w:after="240"/>
      </w:pPr>
      <w:r>
        <w:t>Figur 1. Fyndplatser för naturvårdsarter i och inom 24 meter från avverkningsanmälan. Markörer utan svart kant är placerade på fyndplatsen. Markörer med svart kant är placerade vid sidan av fyndplatsen och har ett svart streck som visar fyndplatsens exakta position. Kartans mittpunktskoordinat är N 6949866, E 489501 i SWEREF 99 TM.</w:t>
      </w:r>
    </w:p>
    <w:p>
      <w:r>
        <w:t>I och inom 24 meter från avverkningsanmälan finns fynd av 25 naturvårdsarter, varav 16 är rödlistade, 8 är fridlysta, 20 är typiska (T) och 4 är signalarter (S): garnlav (VU, T), gränsticka (VU, T), knärot (VU, T, §8), dropptaggsvamp (NT, T), gammelgransskål (NT, T), harticka (NT, T), lunglav (NT, T), rosenticka (NT, T), skogshare (NT), tallticka (NT, T), talltita (NT, §4), tretåig hackspett (NT, T, §4), ullticka (NT, T), vedskivlav (NT, T), vedtrappmossa (NT, T), vitgrynig nållav (NT), luddlav (S, T), norrlandslav (S, T), trådticka (S, T), vedticka (S, T), spillkråka (T, §4), tjäder (T, §4), tofsmes (T, §4), kungsfågel (§4) och revlummer (§9).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Garnlav (VU)</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Minskningstakten uppgår till 30 (20–50) % inom 50 år och överstiger gränsvärdet för Sårbar (VU). Orsaken till tillbakagången beror främst på slutavverkningar av naturskogsartade skogar. Bestånd med riklig förekomst bör regelmässigt sparas, vilket även gynnar flera andra sällsynta och rödlistade arter.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Garnlav är typisk art för </w:t>
      </w:r>
      <w:r>
        <w:rPr>
          <w:i/>
        </w:rPr>
        <w:t xml:space="preserve">9010 Taiga </w:t>
      </w:r>
      <w:r>
        <w:t>och</w:t>
      </w:r>
      <w:r>
        <w:rPr>
          <w:i/>
        </w:rPr>
        <w:t xml:space="preserve"> 9070 Trädklädd betesmark</w:t>
      </w:r>
      <w:r>
        <w:t xml:space="preserve"> (SLU Artdatabanken, 2026).</w:t>
      </w:r>
    </w:p>
    <w:p>
      <w:r>
        <w:rPr>
          <w:b/>
        </w:rPr>
        <w:t>Gränsticka (VU)</w:t>
      </w:r>
      <w:r>
        <w:t xml:space="preserve"> är en mycket bra signalart inom hela sitt utbredningsområde. Den är huvudsakligen knuten till restbestånd av barrnaturskog och förekommer med ett tydligt optimum i orörda eller måttligt påverkade gamla granskogar där det föreligger långvarig kontinuitet av grov död ved. Den totala populationen bedöms ha minskat och fortsätter att minska i takt med att grankontinuitetsskogar (äldre tidigare icke kalavverkade skogar) minskar i areal. Minskningstakten överstiger gränsvärdet för sårbar (VU). Lokaler som hyser arten bör undantas från skogsbruk, speciellt i mellersta och södra Sverige. Gränsticka är typisk art för </w:t>
      </w:r>
      <w:r>
        <w:rPr>
          <w:i/>
        </w:rPr>
        <w:t>9010 Taiga</w:t>
      </w:r>
      <w:r>
        <w:t xml:space="preserve"> (SLU Artdatabanken, 2026; Nitare &amp; Skogsstyrelsen, 2019).</w:t>
      </w:r>
    </w:p>
    <w:p>
      <w:r>
        <w:rPr>
          <w:b/>
        </w:rPr>
        <w:t>Knärot (VU, §8)</w:t>
      </w:r>
      <w:r>
        <w:t xml:space="preserve"> är typisk art för </w:t>
      </w:r>
      <w:r>
        <w:rPr>
          <w:i/>
        </w:rPr>
        <w:t xml:space="preserve">9010 Taiga </w:t>
      </w:r>
      <w:r>
        <w:t>och</w:t>
      </w:r>
      <w:r>
        <w:rPr>
          <w:i/>
        </w:rPr>
        <w:t xml:space="preserve"> 9050 Näringsrik granskog</w:t>
      </w:r>
      <w:r>
        <w:t xml:space="preserve">,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Ytterligare en studie visar på den starka korrelationen mellan minskande arealer kontinuitetsskog och lokal utdöenderisk. Knäroten uppvisade en mycket låg koloniseringsgrad (0,7 % över 10 år) i kombination med hög lokal utrotningsrisk (75,2 %), där utrotningssannolikheten ökade kraftigt när arealen kontinuitetsskog minskade mellan undersökningar, t.ex. på grund av kalhyggesbruk (Johansson et al., 2026). För rika förekomster av knärot är reservatsbildning eller biotopskydd lämpliga åtgärder för att skydda den. På knärot kan den sällsynta rostsvampen </w:t>
      </w:r>
      <w:r>
        <w:rPr>
          <w:i/>
        </w:rPr>
        <w:t>Pucciniastrum goodyerae</w:t>
      </w:r>
      <w:r>
        <w:t xml:space="preserve"> påträffas. </w:t>
      </w:r>
      <w:r>
        <w:rPr>
          <w:i/>
        </w:rPr>
        <w:t>Pucciniastrum goodyerae</w:t>
      </w:r>
      <w:r>
        <w:t xml:space="preserve"> är klassad som NE (ej bedömd) i rödlistan (SLU Artdatabanken, 2024).</w:t>
      </w:r>
    </w:p>
    <w:p>
      <w:r>
        <w:t>I det avverkningsanmälda området finns 24 fyndplatser för knärot registrerade på Artportalen. Figur 2 visar gränserna för buffertzoner på 50 m, som behöver lämnas kring fyndplatserna för att knärotslokalerna inte ska försvinna vid en avverkning. Av det avverkningsanmälda området överlappar 7.15 ha med buffertzonerna och får av detta skäl inte avverkas.</w:t>
      </w:r>
    </w:p>
    <w:p>
      <w:pPr>
        <w:pStyle w:val="Caption"/>
      </w:pPr>
      <w:r>
        <w:drawing>
          <wp:inline xmlns:a="http://schemas.openxmlformats.org/drawingml/2006/main" xmlns:pic="http://schemas.openxmlformats.org/drawingml/2006/picture">
            <wp:extent cx="5486400" cy="7350564"/>
            <wp:docPr id="2" name="Picture 2"/>
            <wp:cNvGraphicFramePr>
              <a:graphicFrameLocks noChangeAspect="1"/>
            </wp:cNvGraphicFramePr>
            <a:graphic>
              <a:graphicData uri="http://schemas.openxmlformats.org/drawingml/2006/picture">
                <pic:pic>
                  <pic:nvPicPr>
                    <pic:cNvPr id="0" name="A 38116-2024 karta knärot.png"/>
                    <pic:cNvPicPr/>
                  </pic:nvPicPr>
                  <pic:blipFill>
                    <a:blip r:embed="rId17"/>
                    <a:stretch>
                      <a:fillRect/>
                    </a:stretch>
                  </pic:blipFill>
                  <pic:spPr>
                    <a:xfrm>
                      <a:off x="0" y="0"/>
                      <a:ext cx="5486400" cy="7350564"/>
                    </a:xfrm>
                    <a:prstGeom prst="rect"/>
                  </pic:spPr>
                </pic:pic>
              </a:graphicData>
            </a:graphic>
          </wp:inline>
        </w:drawing>
      </w:r>
    </w:p>
    <w:p>
      <w:pPr>
        <w:pStyle w:val="Caption"/>
        <w:spacing w:after="240"/>
      </w:pPr>
      <w:r>
        <w:t>Figur 2. Fyndplatser och buffertzoner för knärot i det avverkningsanmälda området. Endast fyndplatser vars buffertzoner överlappar med det avverkningsanmälda området har tagits med i visualiseringen. Kartans mittpunktskoordinat är N 6949866, E 489501 i SWEREF 99 TM.</w:t>
      </w:r>
    </w:p>
    <w:p>
      <w:r>
        <w:rPr>
          <w:b/>
        </w:rPr>
        <w:t>Dropptaggsvamp (NT)</w:t>
      </w:r>
      <w:r>
        <w:t xml:space="preserve"> bildar mykorrhiza med tall, främst i barrskog med trädkontinuitet, i magra, torra och ljusöppna lavtallskogar och i barrblandskogar med friskmossor och lingon i fältskiktet. Den totala populationen i landet har minskat och bedöms fortsätta minska till följd av slutavverkningar av tallskog. Det är högst oklart om arten långsiktigt kan etablera och reproducera sig i skogsbestånd som brukas med trakthyggesmetoder, markberedning, gödsling eller föryngring med förädlat plantmaterial. Uppfyller kriterierna för att bli rödlistad på grund av ny kunskap som visar att en större andel av populationen än tidigare bedömt är knuten till kontinuitetsbarrskog. Minskningstakten för den svenska populationen bedöms vara nära gränsvärdet för Sårbar (VU). Dropptaggsvamp är typisk art för </w:t>
      </w:r>
      <w:r>
        <w:rPr>
          <w:i/>
        </w:rPr>
        <w:t xml:space="preserve">9010 Taiga </w:t>
      </w:r>
      <w:r>
        <w:t>(SLU Artdatabanken, 2026).</w:t>
      </w:r>
    </w:p>
    <w:p>
      <w:r>
        <w:rPr>
          <w:b/>
        </w:rPr>
        <w:t>Gammelgransskål (NT)</w:t>
      </w:r>
      <w:r>
        <w:t xml:space="preserve"> är en liten skålsvamp som växer på gamla granar med skrovlig bark. Typiska växtplatser är gransumpskog i myrkanter, bäckdråg, bäckraviner och skuggiga bergssluttningar, men också skog på torrare mark kan hysa arten om beståndet har stark naturskogskaraktär. Bestånd med arten bör behandlas som nyckelbiotoper och sparas vid en slutavverkning. Även gallring bör undvikas. Gammelgransskål är typisk art för </w:t>
      </w:r>
      <w:r>
        <w:rPr>
          <w:i/>
        </w:rPr>
        <w:t>9010 Taiga</w:t>
      </w:r>
      <w:r>
        <w:t xml:space="preserve"> (SLU Artdatabanken, 2024; Nitare &amp; Skogsstyrelsen, 2019).</w:t>
      </w:r>
    </w:p>
    <w:p>
      <w:r>
        <w:rPr>
          <w:b/>
        </w:rPr>
        <w:t>Harticka (NT)</w:t>
      </w:r>
      <w:r>
        <w:t xml:space="preserve"> är normalt en mycket bra signalart för granskogar med höga naturvärden. Även när svampen påträffas i mer påverkade skogar är det nästan alltid fråga om skogsmiljöer i sena successionsstadier med höga naturvärden. Skogsskötselåtgärder på eller i omedelbar närhet av växtplatserna kan innebära ett hot mot arten. Harticka är typisk art för </w:t>
      </w:r>
      <w:r>
        <w:rPr>
          <w:i/>
        </w:rPr>
        <w:t xml:space="preserve">9010 Taiga, 9050 Näringsrik granskog </w:t>
      </w:r>
      <w:r>
        <w:t xml:space="preserve">och </w:t>
      </w:r>
      <w:r>
        <w:rPr>
          <w:i/>
        </w:rPr>
        <w:t>9030 Landhöjningsskog</w:t>
      </w:r>
      <w:r>
        <w:t xml:space="preserve"> (SLU Artdatabanken, 2024; Nitare &amp; Skogsstyrelsen, 2019).</w:t>
      </w:r>
    </w:p>
    <w:p>
      <w:r>
        <w:rPr>
          <w:b/>
        </w:rPr>
        <w:t>Lunglav (NT)</w:t>
      </w:r>
      <w:r>
        <w:t xml:space="preserve"> är en av vårt lands främsta signalarter som överallt indikerar gamla lövträd, skogsbestånd med höga naturvärden och ekosystem med långskoglig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På lunglav kan de sällsynta lavparasiterna lunglavshårprick (CR), </w:t>
      </w:r>
      <w:r>
        <w:rPr>
          <w:i/>
        </w:rPr>
        <w:t>Abrothallus diederichii</w:t>
      </w:r>
      <w:r>
        <w:t xml:space="preserve"> (VU), </w:t>
      </w:r>
      <w:r>
        <w:rPr>
          <w:i/>
        </w:rPr>
        <w:t>Abrothallus lobariae</w:t>
      </w:r>
      <w:r>
        <w:t xml:space="preserve"> (VU), </w:t>
      </w:r>
      <w:r>
        <w:rPr>
          <w:i/>
        </w:rPr>
        <w:t>Calycina lobariae</w:t>
      </w:r>
      <w:r>
        <w:t xml:space="preserve"> (VU), lunglavsknapp (VU) och skrovelmössing (VU) påträffas. Lunglav är typisk art för </w:t>
      </w:r>
      <w:r>
        <w:rPr>
          <w:i/>
        </w:rPr>
        <w:t>9010 Taiga, 9020 Nordlig ädellövskog, 9110 Näringsfattig bokskog, 9130 Näringsrik bokskog, 9160 Näringsrik ekskog, 9180 Ädellövskog i branter, 9190 Näringsfattig ekskog, 9070 Trädklädd betesmark, 9040 Fjällbjörkskog</w:t>
      </w:r>
      <w:r>
        <w:t xml:space="preserve"> och</w:t>
      </w:r>
      <w:r>
        <w:rPr>
          <w:i/>
        </w:rPr>
        <w:t xml:space="preserve"> 6530 Lövängar</w:t>
      </w:r>
      <w:r>
        <w:t xml:space="preserve"> (SLU Artdatabanken, 2026; Nitare &amp; Skogsstyrelsen, 2019).</w:t>
      </w:r>
    </w:p>
    <w:p>
      <w:r>
        <w:rPr>
          <w:b/>
        </w:rPr>
        <w:t>Rosenticka (NT)</w:t>
      </w:r>
      <w:r>
        <w:t xml:space="preserve">, rödlistad som nära hotad, ingår i en karaktäristisk association av vedsvampar som växer på gamla, grova granlågor i urskogsartade barrskogar. Den är placerad i toppen av Skogsstyrelsens värdepyramid för bedömning av skog med höga naturvärden och indikerar ett granskogsekosystem med långvarig kontinuitet av grova lågor. Artens beroende av grova granlågor innebär att alla skogsskötselåtgärder på eller i omedelbar närhet av lokalerna utgör ett hot på lång sikt. Det är angeläget att populationerna inte ytterligare glesas ut och ett tillräckligt antal områden där arten nu finns måste sparas för framtiden. Rosenticka är typisk art för </w:t>
      </w:r>
      <w:r>
        <w:rPr>
          <w:i/>
        </w:rPr>
        <w:t xml:space="preserve">9010 Taiga </w:t>
      </w:r>
      <w:r>
        <w:t xml:space="preserve">och </w:t>
      </w:r>
      <w:r>
        <w:rPr>
          <w:i/>
        </w:rPr>
        <w:t>9050 Näringsrik granskog</w:t>
      </w:r>
      <w:r>
        <w:t xml:space="preserve"> (Nitare &amp; Skogsstyrelsen, 2019; SLU Artdatabanken, 2024).</w:t>
      </w:r>
    </w:p>
    <w:p>
      <w:r>
        <w:rPr>
          <w:b/>
        </w:rPr>
        <w:t xml:space="preserve">Tallticka (NT) </w:t>
      </w:r>
      <w:r>
        <w:t xml:space="preserve">uppträder först på tallar som är 100–150 år gamla men är vanligast på träd som är runt 150–200 år eller äldre. I skogslandskapet är den främst knuten till tallnaturskogar och restbiotoper med biologiskt gamla träd och signalerar vanligtvis skyddsvärda tallbestånd med höga naturvärden. Tallticka är typisk art för </w:t>
      </w:r>
      <w:r>
        <w:rPr>
          <w:i/>
        </w:rPr>
        <w:t xml:space="preserve">9010 Taiga </w:t>
      </w:r>
      <w:r>
        <w:t xml:space="preserve">och </w:t>
      </w:r>
      <w:r>
        <w:rPr>
          <w:i/>
        </w:rPr>
        <w:t>9060 Åsbarrskog</w:t>
      </w:r>
      <w:r>
        <w:t xml:space="preserve"> (SLU Artdatabanken, 2023; Nitare &amp; Skogsstyrelsen, 2019).</w:t>
      </w:r>
    </w:p>
    <w:p>
      <w:r>
        <w:rPr>
          <w:b/>
        </w:rPr>
        <w:t>Talltita (NT, §4)</w:t>
      </w:r>
      <w:r>
        <w:t>, rödlistad som nära hotad och prioriterad art i Skogsvårdslagen, har häckningsrevir i anmälan. Arten har minskat kraftigt de senaste 30 åren och minskningstakten innevarande 10-årsperiod beräknas till 20 (10–30) %. Talltitan är synnerligen trogen sitt cirka 15 hektar stora revir och är beroende av flerskiktade olikåldriga skogar för att kunna föda upp sina ungar. Talltitan försvinner om dess livsmiljö kalavverkas (Eggers &amp; Low, 2014; Ekman, 1979; Griesser et al, 2007; Klein, 2020; Siffczyk et al, 2003; SLU Artdatabanken, 2021).</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Områden med dokumenterad permanent förekomst i naturskogsmiljöer har vanligen så stora naturvärden att skogsbruk är olämpligt. Tretåig hackspett är typisk art för </w:t>
      </w:r>
      <w:r>
        <w:rPr>
          <w:i/>
        </w:rPr>
        <w:t xml:space="preserve">9010 Taiga, 9740 Skogsbevuxen myr, 9030 Landhöjningsskog </w:t>
      </w:r>
      <w:r>
        <w:t xml:space="preserve">och </w:t>
      </w:r>
      <w:r>
        <w:rPr>
          <w:i/>
        </w:rPr>
        <w:t>9040 Fjällbjörkskog</w:t>
      </w:r>
      <w:r>
        <w:t xml:space="preserve"> (Skogsstyrelsen, 2016; SLU Artdatabanken, 2024).</w:t>
      </w:r>
    </w:p>
    <w:p>
      <w:r>
        <w:rPr>
          <w:b/>
        </w:rPr>
        <w:t>Ullticka (NT)</w:t>
      </w:r>
      <w:r>
        <w:t xml:space="preserve"> är knuten till restbestånd av barrnaturskog och förekommer med ett tydligt optimum i orörda eller måttligt påverkade gamla granskogar där det föreligger viss kontinuitet av grov död ved. Ullticka är en bra signalart inom hela sitt utbredningsområde och i södra Sverige är den sällsynt och en god signalart för skyddsvärda granskogsmiljöer. Den hotas av avverkning och fragmentering av naturskog och äldre granskog med lång trädkontinuitet. På ullticka kan ibland ulltickeporing (VU) påträffas - det är en sällsynt ticka som nyligen delats upp i de tre olika arterna ulltickeporing </w:t>
      </w:r>
      <w:r>
        <w:rPr>
          <w:i/>
        </w:rPr>
        <w:t xml:space="preserve">Skeletocutis brevispora </w:t>
      </w:r>
      <w:r>
        <w:t>(VU)</w:t>
      </w:r>
      <w:r>
        <w:rPr>
          <w:i/>
        </w:rPr>
        <w:t>, Skeletocutis delicata</w:t>
      </w:r>
      <w:r>
        <w:t xml:space="preserve"> (VU)</w:t>
      </w:r>
      <w:r>
        <w:rPr>
          <w:i/>
        </w:rPr>
        <w:t xml:space="preserve"> och Skeletocutis exilis</w:t>
      </w:r>
      <w:r>
        <w:t xml:space="preserve"> (NT). Ullticka är typisk art för </w:t>
      </w:r>
      <w:r>
        <w:rPr>
          <w:i/>
        </w:rPr>
        <w:t xml:space="preserve">9010 Taiga, 9050 Näringsrik granskog </w:t>
      </w:r>
      <w:r>
        <w:t xml:space="preserve">och </w:t>
      </w:r>
      <w:r>
        <w:rPr>
          <w:i/>
        </w:rPr>
        <w:t>9030 Landhöjningsskog</w:t>
      </w:r>
      <w:r>
        <w:t xml:space="preserve"> (SLU Artdatabanken, 2026; Nitare &amp; Skogsstyrelsen, 2019; Miettinen &amp; Niemelä, 2018).</w:t>
      </w:r>
    </w:p>
    <w:p>
      <w:r>
        <w:rPr>
          <w:b/>
        </w:rPr>
        <w:t>Vedskivlav (NT)</w:t>
      </w:r>
      <w:r>
        <w:t xml:space="preserve"> växer på gammal, torr, exponerad, hård kärnved av framförallt tall i naturskogsartade bestånd. Avverkning av tallskog av naturskogskaraktär med spår av återkommande bränder är ett hot. Mängden lämplig ved att växa på för vedskivlav minskar, dels på grund av naturlig nedbrytning men framförallt på grund av att de förstörs i samband med slutavverkningar, gallringar och markberedning. Tall- och blandbarrskogar av naturskogskaraktär med spår av återkommande bränder bör skyddas. Vedskivlav är typisk art för </w:t>
      </w:r>
      <w:r>
        <w:rPr>
          <w:i/>
        </w:rPr>
        <w:t>9010 Taiga</w:t>
      </w:r>
      <w:r>
        <w:t xml:space="preserve"> (SLU Artdatabanken, 2024).</w:t>
      </w:r>
    </w:p>
    <w:p>
      <w:r>
        <w:rPr>
          <w:b/>
        </w:rPr>
        <w:t xml:space="preserve">Vedtrappmossa (NT) </w:t>
      </w:r>
      <w:r>
        <w:t xml:space="preserve">växer på död ved, främst i gammal granskog. Den förekommer knappast alls i fjällnära barrskogar utan finns i skogslandskapet nedom fjällen och framför allt i landets södra delar är den en mycket bra signalart för barrnaturskog med höga naturvärden. Skogsavverkning och brist på grov död ved i skogen är de allvarligaste hoten och den överlever inte kalhyggesbruk. Lokaler med sluten granskog, tillräckligt stora för att säkerställa ett kontinuerligt tillskott på grova lågor, bör undantas från storskaligt skogsbruk. Vedtrappmossa är typisk art för </w:t>
      </w:r>
      <w:r>
        <w:rPr>
          <w:i/>
        </w:rPr>
        <w:t>9010 Taiga</w:t>
      </w:r>
      <w:r>
        <w:t xml:space="preserve"> (SLU Artdatabanken, 2024).</w:t>
      </w:r>
    </w:p>
    <w:p>
      <w:r>
        <w:rPr>
          <w:b/>
        </w:rPr>
        <w:t>Vitgrynig nållav (NT)</w:t>
      </w:r>
      <w:r>
        <w:t xml:space="preserve"> växer nästan uteslutande på bark av gamla, senvuxna granar i skuggiga lägen med hög och jämn luftfuktighet. Den vanligaste naturtypen för arten är kontinuitetsskogar på frisk mark men den finns också i sumpgranskogar. På lång sikt utgör avverkningar av olikåldriga granskogar av naturskogskaraktär ett allvarligt hot mot arten och skogsbruksåtgärder på eller i närheten av växtplatserna bör undvikas. Naturskogsartade, fuktiga granskogar med förekomster av arten signalerar höga biologiska värden och bör bevaras (SLU Artdatabanken, 2024; Nitare &amp; Skogsstyrelsen, 2019).</w:t>
      </w:r>
    </w:p>
    <w:p>
      <w:r>
        <w:rPr>
          <w:b/>
        </w:rPr>
        <w:t>Luddlav</w:t>
      </w:r>
      <w:r>
        <w:t xml:space="preserve"> signalerar lång skoglig kontinuitet med ett stabilt lokal- och mikroklimat med hög och jämn fuktighet. Luddlav är typisk art för </w:t>
      </w:r>
      <w:r>
        <w:rPr>
          <w:i/>
        </w:rPr>
        <w:t>9010 Taiga,</w:t>
      </w:r>
      <w:r>
        <w:t xml:space="preserve"> </w:t>
      </w:r>
      <w:r>
        <w:rPr>
          <w:i/>
        </w:rPr>
        <w:t xml:space="preserve">9020 Nordlig ädellövskog, 9070 Trädklädd betesmark, 9110 Näringsfattig bokskog, 9180 Ädellövskog i branter </w:t>
      </w:r>
      <w:r>
        <w:t>och</w:t>
      </w:r>
      <w:r>
        <w:rPr>
          <w:i/>
        </w:rPr>
        <w:t xml:space="preserve"> 9190 Näringsfattig ekskog </w:t>
      </w:r>
      <w:r>
        <w:t>(Nitare &amp; Skogsstyrelsen, 2019; SLU Artdatabanken, 2025).</w:t>
      </w:r>
    </w:p>
    <w:p>
      <w:r>
        <w:rPr>
          <w:b/>
        </w:rPr>
        <w:t xml:space="preserve">Norrlandslav </w:t>
      </w:r>
      <w:r>
        <w:t xml:space="preserve">indikerar söder om den naturliga norrlandsgränsen barrskogsbeklädda bergbranter eller andra ostörda skogsmiljöer med höga naturvärden. Norrlandslav är typisk art för </w:t>
      </w:r>
      <w:r>
        <w:rPr>
          <w:i/>
        </w:rPr>
        <w:t xml:space="preserve">9010 Taiga, 8110 Silikatrasmarker </w:t>
      </w:r>
      <w:r>
        <w:t>och</w:t>
      </w:r>
      <w:r>
        <w:rPr>
          <w:i/>
        </w:rPr>
        <w:t xml:space="preserve"> 8120 Kalkrasmarker </w:t>
      </w:r>
      <w:r>
        <w:t>(Nitare &amp; Skogsstyrelsen, 2000; SLU Artdatabanken, 2025).</w:t>
      </w:r>
    </w:p>
    <w:p>
      <w:r>
        <w:rPr>
          <w:b/>
        </w:rPr>
        <w:t xml:space="preserve">Trådticka </w:t>
      </w:r>
      <w:r>
        <w:t xml:space="preserve">är knuten till grova granar i rikare ofta fuktiga miljöer. Den återfinns på både levande och döda träd samt stubbar och nyligen fallna träd. Karaktärsart för äldre fuktiga granskogsbiotoper, och i stor mängd är den en bra signalart för miljöer med andra rödlistade arter. Trådticka är typisk art för </w:t>
      </w:r>
      <w:r>
        <w:rPr>
          <w:i/>
        </w:rPr>
        <w:t xml:space="preserve">9010 Taiga </w:t>
      </w:r>
      <w:r>
        <w:t xml:space="preserve">och </w:t>
      </w:r>
      <w:r>
        <w:rPr>
          <w:i/>
        </w:rPr>
        <w:t xml:space="preserve">9050 Näringsrik granskog </w:t>
      </w:r>
      <w:r>
        <w:t>(SLU Artdatabanken, 2025).</w:t>
      </w:r>
    </w:p>
    <w:p>
      <w:r>
        <w:rPr>
          <w:b/>
        </w:rPr>
        <w:t xml:space="preserve">Vedticka </w:t>
      </w:r>
      <w:r>
        <w:t xml:space="preserve">är en bra signalart söder om den naturliga norrlandsgränsen. Den är huvudsakligen knuten till äldre barrskogar där det föreligger långvarig kontinuitet av död barrved. Vedticka är typisk art för </w:t>
      </w:r>
      <w:r>
        <w:rPr>
          <w:i/>
        </w:rPr>
        <w:t xml:space="preserve">9010 Taiga </w:t>
      </w:r>
      <w:r>
        <w:t>(Nitare &amp; Skogsstyrelsen, 2019; SLU Artdatabanken, 2025).</w:t>
      </w:r>
    </w:p>
    <w:p>
      <w:r>
        <w:rPr>
          <w:b/>
        </w:rPr>
        <w:t>Spillkråka (§4)</w:t>
      </w:r>
      <w:r>
        <w:t xml:space="preserve"> omfattas av bilaga 1 i EU:s fågeldirektiv och är typisk art för </w:t>
      </w:r>
      <w:r>
        <w:rPr>
          <w:i/>
        </w:rPr>
        <w:t xml:space="preserve">9010 Taiga </w:t>
      </w:r>
      <w:r>
        <w:t>och</w:t>
      </w:r>
      <w:r>
        <w:rPr>
          <w:i/>
        </w:rPr>
        <w:t xml:space="preserve"> 9740 Skogsbevuxen myr</w:t>
      </w:r>
      <w:r>
        <w:t>. Den behöver grova träd, främst tall, asp och bok som boträd. Skogsbruk med korta omloppstider och täta, homogena ungskogar utgör det största hotet. Spillkråka är en nyckelart i skogliga miljöer vars övergivna bohål utnyttjas av flera andra hålhäckande fågelarter och fladdermöss, däribland pärluggla (EN, §4), knipa (§4), salskrake (§4) och skogsduva (§4). Hökuggla (VU, §4) och slaguggla (§4) häckar ofta i högstubbar som brutits av i höjd med ett gammalt spillkråkebo (SLU Artdatabanken, 2026; Skogsstyrelsen, 2016).</w:t>
      </w:r>
    </w:p>
    <w:p>
      <w:r>
        <w:rPr>
          <w:b/>
        </w:rPr>
        <w:t>Tjäder (§4)</w:t>
      </w:r>
      <w:r>
        <w:t xml:space="preserve"> omfattas av bilaga 1 och 2 EU:s fågeldirektiv och är typisk art för </w:t>
      </w:r>
      <w:r>
        <w:rPr>
          <w:i/>
        </w:rPr>
        <w:t xml:space="preserve">9010 Taiga </w:t>
      </w:r>
      <w:r>
        <w:t xml:space="preserve">och </w:t>
      </w:r>
      <w:r>
        <w:rPr>
          <w:i/>
        </w:rPr>
        <w:t>9740 Skogsbevuxen myr</w:t>
      </w:r>
      <w:r>
        <w:t>. Tjädern är en utpräglad skogsfågel knuten till större sammanhängande barrskogsområden. Tupparna och hönorna utnyttjar till viss del olika miljöer, och habitatvalet varierar dessutom mellan olika delar av året. För att det ska finnas livskraftiga tjäderbestånd krävs funktionella skogslandskap med en blandning av uppvuxen, gles och luckig skog, täta sumpskogar, myrar och andra små våtmarker. Arten försvinner när skogen fragmenteras och den sammanlagda arealen hyggen och andra öppna områden blir för stor. Ett småskaligt och försiktigt virkesuttag genom hyggesfria metoder kan i vissa fall vara möjligt i området inom 200 m från lekcentrum. Längre ut från lekcentrum, inom 200–500 m bör den avverkade ytan inte överskrida 1 hektar för att undvika alltför stora och snabba förändringar (Skogsstyrelsen, 2019; SLU Artdatabanken, 2024).</w:t>
      </w:r>
    </w:p>
    <w:p>
      <w:r>
        <w:rPr>
          <w:b/>
        </w:rPr>
        <w:t>Tofsmes (§4)</w:t>
      </w:r>
      <w:r>
        <w:t xml:space="preserve"> häckar i barr- och blandskog, främst i tallskog. Tofsmes är typisk art för </w:t>
      </w:r>
      <w:r>
        <w:rPr>
          <w:i/>
        </w:rPr>
        <w:t xml:space="preserve">9010 Taiga </w:t>
      </w:r>
      <w:r>
        <w:t>(SLU Artdatabanken, 2025).</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6.4.1 </w:t>
      </w:r>
      <w:r>
        <w:t>Följande biotoper undantas från alla skogsbruksåtgärder, förutom åtgärder påkallade för att bevara eller främja biotopens naturliga eller hävdbetingade biologiska mångfald:</w:t>
      </w:r>
    </w:p>
    <w:p>
      <w:pPr>
        <w:ind w:left="357"/>
      </w:pPr>
      <w:r>
        <w:t>b) nyckelbiotoper enligt Skogsstyrelsens definition och metod (1995)</w:t>
      </w:r>
    </w:p>
    <w:p>
      <w:pPr>
        <w:pStyle w:val="ListBullet"/>
      </w:pPr>
      <w:r>
        <w:rPr>
          <w:b/>
          <w:i/>
        </w:rPr>
        <w:t xml:space="preserve">Kommentar: </w:t>
      </w:r>
      <w:r>
        <w:rPr>
          <w:i/>
        </w:rPr>
        <w:t>I det avverkningsanmälda skogsområdet har 20 rödlistade arter och signalarter påträffats. Detta ska jämföras med Skogsstyrelsens uppföljning 2017 av nyckelbiotoper som visade att man i genomsnitt hittar 20,6 olika rödlistade arter och signalarter i en nyckelbiotop (Wijk, S. 2017. Biologisk mångfald i nyckelbiotoper – Resultat från inventeringen “Uppföljning biologisk mångfald” 2009–2015. Rapport 4/2017 Skogsstyrelsen, Jönköping).</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25 naturvårdsarter varav 16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w:t>
        <w:br/>
        <w:t>Fridlysta och rödlistade arter</w:t>
      </w:r>
    </w:p>
    <w:p>
      <w:pPr>
        <w:pStyle w:val="Heading1"/>
      </w:pPr>
      <w:r>
        <w:t>Knärot – ekologi samt krav på livsmiljön</w:t>
      </w:r>
    </w:p>
    <w:p>
      <w:r>
        <w:t xml:space="preserve">Knärot är typisk art för </w:t>
      </w:r>
      <w:r>
        <w:rPr>
          <w:i/>
        </w:rPr>
        <w:t xml:space="preserve">9010 Taiga </w:t>
      </w:r>
      <w:r>
        <w:t>och</w:t>
      </w:r>
      <w:r>
        <w:rPr>
          <w:i/>
        </w:rPr>
        <w:t xml:space="preserve"> 9050 Näringsrik granskog</w:t>
      </w:r>
      <w:r>
        <w:t>,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 Detta stöds även av en studie (Johansson et al, 2026) baserad på data från Riksskogstaxeringen som visar att knäroten minskat med 66 % under perioden 1993–2022 samt att det finns en stark korrelation mellan minskande arealer kontinuitetsskog och lokal utdöenderisk. Knäroten uppvisade en mycket låg koloniseringsgrad (0,7 % över 10 år) i kombination med hög lokal utrotningsrisk (75,2 %), där utrotningssannolikheten ökade kraftigt när arealen kontinuitetsskog minskade mellan undersökningar, t.ex. på grund av kalhyggesbruk (Johansson et al., 2026).</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Ytterligare en studie (Koelmeijer m.fl., 2022) inkluderar knärotens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Johansson, V., Jansson, M. och Bergman, K-O</w:t>
      </w:r>
      <w:r>
        <w:rPr>
          <w:i/>
        </w:rPr>
        <w:t>.</w:t>
      </w:r>
      <w:r>
        <w:t>, 2026.</w:t>
      </w:r>
      <w:r>
        <w:rPr>
          <w:i/>
        </w:rPr>
        <w:t xml:space="preserve"> A 30-year population decline of a threatened forest orchid associated with old growth forests</w:t>
      </w:r>
      <w:r>
        <w:t>. Department of Physics, Chemistry and Biology (IFM), Linköping University.</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p>
      <w:pPr>
        <w:pStyle w:val="Heading1"/>
      </w:pPr>
      <w:r>
        <w:t>Lunglav – ekologi samt krav på livsmiljön</w:t>
      </w:r>
    </w:p>
    <w:p>
      <w:r>
        <w:t xml:space="preserve">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däribland de sällsynta lavparasiterna lunglavshårprick (CR), </w:t>
      </w:r>
      <w:r>
        <w:rPr>
          <w:i/>
        </w:rPr>
        <w:t>Abrothallus diederichii</w:t>
      </w:r>
      <w:r>
        <w:t xml:space="preserve"> (VU), </w:t>
      </w:r>
      <w:r>
        <w:rPr>
          <w:i/>
        </w:rPr>
        <w:t>Abrothallus lobariae</w:t>
      </w:r>
      <w:r>
        <w:t xml:space="preserve"> (VU), </w:t>
      </w:r>
      <w:r>
        <w:rPr>
          <w:i/>
        </w:rPr>
        <w:t>Calycina lobariae</w:t>
      </w:r>
      <w:r>
        <w:t xml:space="preserve"> (VU), lunglavsknapp (VU) och skrovelmössing (VU), som växer på lunglav. Rikliga förekomster med lunglav bör skyddas med biotopskydd, frivilliga avsättningar eller reservat (SLU Artdatabanken, 2026; Nitare &amp; Skogsstyrelsen, 2019).</w:t>
      </w:r>
    </w:p>
    <w:p>
      <w:r>
        <w:t xml:space="preserve">Lunglav är typisk art för </w:t>
      </w:r>
      <w:r>
        <w:rPr>
          <w:i/>
        </w:rPr>
        <w:t>9010 Taiga, 9020 Nordlig ädellövskog, 9110 Näringsfattig bokskog, 9130 Näringsrik bokskog, 9160 Näringsrik ekskog, 9180 Ädellövskog i branter, 9190 Näringsfattig ekskog, 9070 Trädklädd betesmark, 9040 Fjällbjörkskog</w:t>
      </w:r>
      <w:r>
        <w:t xml:space="preserve"> och</w:t>
      </w:r>
      <w:r>
        <w:rPr>
          <w:i/>
        </w:rPr>
        <w:t xml:space="preserve"> 6530 Lövängar</w:t>
      </w:r>
      <w:r>
        <w:t xml:space="preserve"> (SLU Artdatabanken, 2026).</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2026. </w:t>
      </w:r>
      <w:r>
        <w:rPr>
          <w:i/>
        </w:rPr>
        <w:t xml:space="preserve">Artfaktablad. Naturvård – artfakta. </w:t>
      </w:r>
      <w:r>
        <w:t>SLU Artdatabanken, Uppsala.</w:t>
      </w:r>
    </w:p>
    <w:p>
      <w:pPr>
        <w:pStyle w:val="Heading1"/>
      </w:pPr>
      <w:r>
        <w:t>Talltita – ekologi samt krav på livsmiljön</w:t>
      </w:r>
    </w:p>
    <w:p>
      <w:r>
        <w:t>Talltita är rödlistad som NT, fridlyst och prioriterad art i Skogsvårdslagen. Den omfattas av EU:s fågeldirektiv. Arten har minskat kraftigt de senaste 30 åren och minskningstakten innevarande 10-årsperiod beräknas till 20 (10–30) % (SLU Artdatabanken, 2022).</w:t>
      </w:r>
    </w:p>
    <w:p>
      <w:r>
        <w:t>Talltita föredrar större sammanhängande barrskogar, och finns såväl i tallskog som granskog och i lövblandad barrskog. Skogens struktur är viktig och ska helst vara flerskiktad med riklig underväxt av mindre granar, björk och andra lövträd och buskar. Tillgång på murknande högstubbar är särskilt viktig, eftersom talltitan helst själv hackar ut sitt bohål (SLU Artdatabanken, 2022).</w:t>
      </w:r>
    </w:p>
    <w:p>
      <w:r>
        <w:t>Det finns flera studier som visar att talltita är känslig för gallring och inte överlever när dess livsmiljö kalavverkas (Eggers and Low, 2014; Griesser et al., 2007; Klein, 2020). Talltitans revir är förhållandevis stora, 10–20 hektar och arten missgynnas när skogen fragmenteras. Kalavverkning av större delar av reviret innebär att det överges (Artdatabanken, 2021).</w:t>
      </w:r>
    </w:p>
    <w:p>
      <w:r>
        <w:t>Talltitan är synnerligen trogen sitt revir så länge paret lever och biotopen förblir intakt. Paret stannar i sitt revir året om. En förlust av ett revir har därför en stor inverkan på den lokala populationen och trakthyggesbruket anses vara orsak till den svenska populationens kraftiga minskning. Talltiteparets revirtrohet innebär att närhelst under året man observerar en adult talltita så ingår denna plats i reviret (Siffczyk et al., 2003; Ekman, 1979).</w:t>
      </w:r>
    </w:p>
    <w:p>
      <w:pPr>
        <w:pStyle w:val="Heading2"/>
      </w:pPr>
      <w:r>
        <w:t>Referenser – talltita</w:t>
      </w:r>
    </w:p>
    <w:p>
      <w:r>
        <w:t xml:space="preserve">Eggers, S., Low, M., 2014. </w:t>
      </w:r>
      <w:r>
        <w:rPr>
          <w:i/>
        </w:rPr>
        <w:t xml:space="preserve">Differential demographic responses of sympatric Parids to vegetation management in boreal forest. </w:t>
      </w:r>
      <w:r>
        <w:t>For. Ecol. Manage. 319, 169–175.</w:t>
      </w:r>
    </w:p>
    <w:p>
      <w:r>
        <w:t xml:space="preserve">Ekman, J., 1979. </w:t>
      </w:r>
      <w:r>
        <w:rPr>
          <w:i/>
        </w:rPr>
        <w:t xml:space="preserve">Coherence, composition and territories of winter social groups of the Willow Tit Parus montanus and the Crested Tit P. cristatus. </w:t>
      </w:r>
      <w:r>
        <w:t>Ornis Scandinavica, 10, pp 56–68</w:t>
      </w:r>
    </w:p>
    <w:p>
      <w:r>
        <w:t xml:space="preserve">Griesser, M., Nystrand, M., Eggers, S., Ekman, J., 2007. </w:t>
      </w:r>
      <w:r>
        <w:rPr>
          <w:i/>
        </w:rPr>
        <w:t xml:space="preserve">Impact of forestry practices on fitness correlates and population productivity in an open-nesting bird species. </w:t>
      </w:r>
      <w:r>
        <w:t>Conserv. Biol. 21, 767–774. https://doi.org/10.1111/j.1523- 1739.2007.00675.x</w:t>
      </w:r>
    </w:p>
    <w:p>
      <w:r>
        <w:t xml:space="preserve">Klein, J., 2020. </w:t>
      </w:r>
      <w:r>
        <w:rPr>
          <w:i/>
        </w:rPr>
        <w:t xml:space="preserve">The forgotten forest – On thinning, retention, and biodiversity in the boreal forest. </w:t>
      </w:r>
      <w:r>
        <w:t>Doctoral Thesis No. 2020:50</w:t>
      </w:r>
    </w:p>
    <w:p>
      <w:r>
        <w:t xml:space="preserve">Siffczyk, C., Brotons, L., Kangas, K., Orell, M., 2003. </w:t>
      </w:r>
      <w:r>
        <w:rPr>
          <w:i/>
        </w:rPr>
        <w:t xml:space="preserve">Home range size of willow tits. </w:t>
      </w:r>
      <w:r>
        <w:t>Oecologica, 136, 635–642 (2003)</w:t>
      </w:r>
    </w:p>
    <w:p>
      <w:r>
        <w:t xml:space="preserve">SLU Artdatabanken, 2021. </w:t>
      </w:r>
      <w:r>
        <w:rPr>
          <w:i/>
        </w:rPr>
        <w:t xml:space="preserve">Artfaktablad. Naturvård – artfakta. </w:t>
      </w:r>
      <w:r>
        <w:t>SLU Artdatabanken, Uppsala</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r>
        <w:t xml:space="preserve"> (SLU Artdatabanken, 2024; Skogsstyrelsen, 2016)</w:t>
      </w:r>
      <w:r>
        <w:rPr>
          <w:i/>
        </w:rPr>
        <w: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 (SLU Artdatabanken, 2024; Skogsstyrelsen, 2016).</w:t>
      </w:r>
    </w:p>
    <w:p>
      <w:r>
        <w:t xml:space="preserve">Förutom fridlysning enligt §4 Artskyddsförordningen är tretåig hackspett även förtecknad i EU:s fågeldirektiv bilaga 1. Den är typisk art för </w:t>
      </w:r>
      <w:r>
        <w:rPr>
          <w:i/>
        </w:rPr>
        <w:t xml:space="preserve">9010 Taiga, 9740 Skogsbevuxen myr, 9030 Landhöjningsskog </w:t>
      </w:r>
      <w:r>
        <w:t xml:space="preserve">och </w:t>
      </w:r>
      <w:r>
        <w:rPr>
          <w:i/>
        </w:rPr>
        <w:t>9040 Fjällbjörkskog</w:t>
      </w:r>
      <w:r>
        <w:t xml:space="preserve"> samt ingår i Natura 2000 och är förtecknad i Bernkonventionen bilaga II (strikt skyddade djurarter) (SLU Artdatabanken, 2024; Skogsstyrelsen, 2016).</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Vägledning för hänsyn till fåglar – Tretåig hackspett.</w:t>
      </w:r>
    </w:p>
    <w:p>
      <w:r>
        <w:t xml:space="preserve">SLU Artdatabanken, 2024. </w:t>
      </w:r>
      <w:r>
        <w:rPr>
          <w:i/>
        </w:rPr>
        <w:t xml:space="preserve">Artfaktablad. Naturvård – artfakta. </w:t>
      </w:r>
      <w:r>
        <w:t>SLU Artdatabanken, Uppsala.</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p>
      <w:pPr>
        <w:pStyle w:val="Heading1"/>
      </w:pPr>
      <w:r>
        <w:t>Spillkråka – ekologi samt krav på livsmiljön</w:t>
      </w:r>
    </w:p>
    <w:p>
      <w:r>
        <w:t xml:space="preserve">Spillkråka (§4) ingår i bilaga 1 EU:s fågeldirektiv och är typisk art för </w:t>
      </w:r>
      <w:r>
        <w:rPr>
          <w:i/>
        </w:rPr>
        <w:t xml:space="preserve">9010 Taiga </w:t>
      </w:r>
      <w:r>
        <w:t>och</w:t>
      </w:r>
      <w:r>
        <w:rPr>
          <w:i/>
        </w:rPr>
        <w:t xml:space="preserve"> 9740 Skogsbevuxen myr</w:t>
      </w:r>
      <w:r>
        <w:t>. Den lever i både barr- och blandskog liksom i ren lövskog. De tätaste populationerna tenderar att finnas i äldre, variationsrik blandskog med gott om död ved och gamla träd. Varje par utnyttjar 400–1000 hektar skog beroende på skogens kvalitet. Skogsbruk med korta omloppstider och täta, homogena ungskogar utgör det största hotet (SLU Artdatabanken, 2026).</w:t>
      </w:r>
    </w:p>
    <w:p>
      <w:r>
        <w:t>Spillkråka är en nyckelart i skogliga miljöer vars övergivna bohål utnyttjas av flera andra hålhäckande fågelarter och fladdermöss, däribland pärluggla (EN, §4), knipa (§4), salskrake (§4) och skogsduva (§4). Hökuggla (VU, §4) och slaguggla (§4) häckar ofta i högstubbar som brutits av i höjd med ett gammalt spillkråkebo (Skogsstyrelsen, 2016).</w:t>
      </w:r>
    </w:p>
    <w:p>
      <w:pPr>
        <w:pStyle w:val="Heading2"/>
      </w:pPr>
      <w:r>
        <w:t>Referenser – spillkråka</w:t>
      </w:r>
    </w:p>
    <w:p>
      <w:r>
        <w:t xml:space="preserve">Skogsstyrelsen, 2016. </w:t>
      </w:r>
      <w:r>
        <w:rPr>
          <w:i/>
        </w:rPr>
        <w:t xml:space="preserve">Vägledning för hänsyn till spillkråka. </w:t>
      </w:r>
      <w:r>
        <w:t>Vägledningar och kunskapsstöd artskydd – Skogsstyrelsen.</w:t>
      </w:r>
    </w:p>
    <w:p>
      <w:r>
        <w:t xml:space="preserve">SLU Artdatabanken, 2026. </w:t>
      </w:r>
      <w:r>
        <w:rPr>
          <w:i/>
        </w:rPr>
        <w:t xml:space="preserve">Artfaktablad. Naturvård – artfakta. </w:t>
      </w:r>
      <w:r>
        <w:t>SLU Artdatabanken, Uppsala.</w:t>
      </w:r>
    </w:p>
    <w:p>
      <w:pPr>
        <w:pStyle w:val="Heading1"/>
      </w:pPr>
      <w:r>
        <w:t>Tjäder – ekologi samt krav på livsmiljön</w:t>
      </w:r>
    </w:p>
    <w:p>
      <w:r>
        <w:t xml:space="preserve">Tjäder (§4) omfattas av bilaga 1 och 2 EU:s fågeldirektiv och är typisk art för </w:t>
      </w:r>
      <w:r>
        <w:rPr>
          <w:i/>
        </w:rPr>
        <w:t xml:space="preserve">9010 Taiga </w:t>
      </w:r>
      <w:r>
        <w:t xml:space="preserve">och </w:t>
      </w:r>
      <w:r>
        <w:rPr>
          <w:i/>
        </w:rPr>
        <w:t>9740 Skogsbevuxen myr</w:t>
      </w:r>
      <w:r>
        <w:t>. Tjädern är en utpräglad skogsfågel knuten till större sammanhängande barrskogsområden. Tupparna och hönorna utnyttjar till viss del olika miljöer, och habitatvalet varierar dessutom mellan olika delar av året. För att det ska finnas livskraftiga tjäderbestånd krävs funktionella skogslandskap med en blandning av uppvuxen, gles och luckig skog, täta sumpskogar, myrar och andra små våtmarker (Skogsstyrelsen, 2019; SLU Artdatabanken 2024).</w:t>
      </w:r>
    </w:p>
    <w:p>
      <w:r>
        <w:t>Arten försvinner när skogen fragmenteras och den sammanlagda arealen hyggen och andra öppna områden blir för stor. Ett småskaligt och försiktigt virkesuttag genom hyggesfria metoder kan i vissa fall vara möjligt i området inom 200 m från lekcentrum. Längre ut från lekcentrum, inom 200–500 m bör den avverkade ytan inte överskrida 1 hektar för att undvika alltför stora och snabba förändringar (Skogsstyrelsen, 2019).</w:t>
      </w:r>
    </w:p>
    <w:p>
      <w:pPr>
        <w:pStyle w:val="Heading2"/>
      </w:pPr>
      <w:r>
        <w:t>Referenser – tjäder</w:t>
      </w:r>
    </w:p>
    <w:p>
      <w:r>
        <w:t xml:space="preserve">Skogsstyrelsen, 2019. </w:t>
      </w:r>
      <w:r>
        <w:rPr>
          <w:i/>
        </w:rPr>
        <w:t>Vägledning för hänsyn till fåglar – tjäder.</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2026-10-04</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