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19530-2025 i Bergs kommun</w:t>
      </w:r>
    </w:p>
    <w:p>
      <w:r>
        <w:t>Detta dokument behandlar höga naturvärden i avverkningsanmälan A 19530-2025 i Bergs kommun som inkom 2025-04-23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kolflarnlav (NT, T), lavskrika (NT, T, §4), skarp dropptaggsvamp (NT), talltita (NT, §4) och tretåig hackspett (NT, T, §4). Av dessa är 5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19530-2025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6950981, E 447995 i SWEREF 99 TM.</w:t>
      </w:r>
    </w:p>
    <w:p>
      <w:pPr>
        <w:pStyle w:val="Heading2"/>
      </w:pPr>
      <w:r>
        <w:t>Fridlysta arter</w:t>
      </w:r>
    </w:p>
    <w:p>
      <w:r>
        <w:t>Följande fridlysta arter har sina livsmiljöer och växtplatser i den avverkningsanmälda skogen: lavskrika (NT, T, §4), talltita (NT, §4) och tretåig hackspett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