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54999-2023 i Bergs kommun</w:t>
      </w:r>
    </w:p>
    <w:p>
      <w:r>
        <w:t>Detta klagomål behandlar höga naturvärden i avverkningsanmälan A 54999-2023 i Bergs kommun som inkom 2023-11-06 och omfattar 2,6 ha.</w:t>
      </w:r>
    </w:p>
    <w:p>
      <w:pPr>
        <w:pStyle w:val="Caption"/>
      </w:pPr>
      <w:r>
        <w:drawing>
          <wp:inline xmlns:a="http://schemas.openxmlformats.org/drawingml/2006/main" xmlns:pic="http://schemas.openxmlformats.org/drawingml/2006/picture">
            <wp:extent cx="4886053" cy="5724000"/>
            <wp:docPr id="1" name="Picture 1"/>
            <wp:cNvGraphicFramePr>
              <a:graphicFrameLocks noChangeAspect="1"/>
            </wp:cNvGraphicFramePr>
            <a:graphic>
              <a:graphicData uri="http://schemas.openxmlformats.org/drawingml/2006/picture">
                <pic:pic>
                  <pic:nvPicPr>
                    <pic:cNvPr id="0" name="A 54999-2023 karta.png"/>
                    <pic:cNvPicPr/>
                  </pic:nvPicPr>
                  <pic:blipFill>
                    <a:blip r:embed="rId16"/>
                    <a:stretch>
                      <a:fillRect/>
                    </a:stretch>
                  </pic:blipFill>
                  <pic:spPr>
                    <a:xfrm>
                      <a:off x="0" y="0"/>
                      <a:ext cx="4886053"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6963234, E 433435 i SWEREF 99 TM.</w:t>
      </w:r>
    </w:p>
    <w:p>
      <w:r>
        <w:t>I avverkningsanmälan finns fynd av 3 naturvårdsarter, varav 3 är rödlistade och 2 är typiska (T): gräddporing (VU, T), blågrå svartspik (NT) och dvärgbägarlav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Gräddporing (VU)</w:t>
      </w:r>
      <w:r>
        <w:t xml:space="preserve"> växer nästan enbart i urskogsartad barrskog på gamla, kraftigt murkna, grova och mossbelupna tallågor i något fuktiga och skuggiga lägen. Arten är placerad högst upp i Skogsstyrelsens värdepyramid för bedömning av skog med höga naturvärden och indikerar gamla och relativt orörda tallnaturskogar med höga naturvärden där det under låg tid kontinuerligt funnits inslag av grova tallågor. För att på sikt hejda artens vikande trend behöver merparten av gräddporingens nu kända växtplatser undantas från skogsbruk. Gräddporing är typisk art för </w:t>
      </w:r>
      <w:r>
        <w:rPr>
          <w:i/>
        </w:rPr>
        <w:t>9010 Taiga</w:t>
      </w:r>
      <w:r>
        <w:t xml:space="preserve"> (SLU Artdatabanken, 2024; Nitare &amp; Skogsstyrelsen, 2019).</w:t>
      </w:r>
    </w:p>
    <w:p>
      <w:r>
        <w:rPr>
          <w:b/>
        </w:rPr>
        <w:t>Blågrå svartspik (NT)</w:t>
      </w:r>
      <w:r>
        <w:t xml:space="preserve"> växer på torr, hård ved av gamla, solbelysta torrakor, högstubbar av tall och grova döda grenar på levande tallar i öppna bestånd av naturskogskaraktär. Nästan alltid rör det sig om tjärrika torrträd och högstubbar (töreved, keloträd) som kan vara en bra bit över hundra år, i vissa fall sannolikt hundratals år gamla. Skogsbruk är idag det allvarligaste hotet. Ett långsiktigt hot är att nybildningen av gamla torrakor och högstubbar är en långsam process vilken ofta är beroende av skogsbrand. Nytt substrat bildas numera sannolikt nästan inte alls då antalet naturliga skogsbränder har minskat drastiskt på grund av effektivare brandbekämpning. Döda träd som lämnas efter avverkning är inte lämpliga för arten, eftersom dessa träd inte varit utsatta för skogsbrand och bildat tjärrik ved. Skogsbruksåtgärder på eller i närheten av växtplatserna bör undvikas. Naturskogsartade skogar med förekomst av arten indikerar höga biologiska värden och bör bevaras. Blågrå svartspik har en mycket begränsad utbredning utanför de nordiska länderna varför dessa länder har ett speciellt ansvar för arten (SLU Artdatabanken, 2024).</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