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23643-2026 i Bergs kommun</w:t>
      </w:r>
    </w:p>
    <w:p>
      <w:r>
        <w:t>Denna tillsynsbegäran behandlar höga naturvärden i avverkningsanmälan A 23643-2026 i Bergs kommun som inkom 2026-05-22 och omfattar 2,7 ha.</w:t>
      </w:r>
    </w:p>
    <w:p>
      <w:pPr>
        <w:pStyle w:val="Caption"/>
      </w:pPr>
      <w:r>
        <w:drawing>
          <wp:inline xmlns:a="http://schemas.openxmlformats.org/drawingml/2006/main" xmlns:pic="http://schemas.openxmlformats.org/drawingml/2006/picture">
            <wp:extent cx="5345584" cy="5724000"/>
            <wp:docPr id="1" name="Picture 1"/>
            <wp:cNvGraphicFramePr>
              <a:graphicFrameLocks noChangeAspect="1"/>
            </wp:cNvGraphicFramePr>
            <a:graphic>
              <a:graphicData uri="http://schemas.openxmlformats.org/drawingml/2006/picture">
                <pic:pic>
                  <pic:nvPicPr>
                    <pic:cNvPr id="0" name="A 23643-2026 karta.png"/>
                    <pic:cNvPicPr/>
                  </pic:nvPicPr>
                  <pic:blipFill>
                    <a:blip r:embed="rId16"/>
                    <a:stretch>
                      <a:fillRect/>
                    </a:stretch>
                  </pic:blipFill>
                  <pic:spPr>
                    <a:xfrm>
                      <a:off x="0" y="0"/>
                      <a:ext cx="534558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6952936, E 478644 i SWEREF 99 TM.</w:t>
      </w:r>
    </w:p>
    <w:p>
      <w:r>
        <w:t>I och inom 6 meter från avverkningsanmälan finns fynd av 8 naturvårdsarter, varav 4 är rödlistade, 4 är fridlysta, 4 är typiska (T) och 2 är signalarter (S): garnlav (VU, T), duvhök (NT, §4), lavskrika (NT, T, §4), vitgrynig nållav (NT), spindelblomster (S, T, §8), vågbandad barkbock (S), torta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