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och inom 15 meter från avverkningsanmälan finns fynd av 8 naturvårdsarter, varav 6 är rödlistade, 2 är fridlysta, 5 är typiska (T) och 1 är signalart (S): blå taggsvamp (NT, T), harticka (NT, T), skrovellav (NT, T), svartvit taggsvamp (NT), talltita (NT, §4), ullticka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