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28615-2025 i Bergs kommun</w:t>
      </w:r>
    </w:p>
    <w:p>
      <w:r>
        <w:t>Detta dokument behandlar höga naturvärden i avverkningsanmälan A 28615-2025 i Bergs kommun. Denna avverkningsanmälan inkom 2025-06-11 14:32:18 och omfattar 11,0 ha.</w:t>
      </w:r>
    </w:p>
    <w:p>
      <w:r>
        <w:t>Nedan presenteras fynd av naturvårdsarter och fridlysta arter som gjorts i det avverkningsanmälda området, samt relevanta utdrag ur standarderna för FSC, Chain of Custody, Controlled Wood och PEFC. I BILAGA 1 finns artfakta om fridlysta och rödlistade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11 naturvårdsarter hittats: knärot (VU, §8), blanksvart spiklav (NT), blågrå svartspik (NT), dvärgbägarlav (NT), garnlav (NT), lunglav (NT), mörk kolflarnlav (NT), vedflamlav (NT), norrlandslav (S), stuplav (S) och tjäder (§4). Av dessa är 8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948427"/>
            <wp:docPr id="1" name="Picture 1"/>
            <wp:cNvGraphicFramePr>
              <a:graphicFrameLocks noChangeAspect="1"/>
            </wp:cNvGraphicFramePr>
            <a:graphic>
              <a:graphicData uri="http://schemas.openxmlformats.org/drawingml/2006/picture">
                <pic:pic>
                  <pic:nvPicPr>
                    <pic:cNvPr id="0" name="A 28615-2025 karta.png"/>
                    <pic:cNvPicPr/>
                  </pic:nvPicPr>
                  <pic:blipFill>
                    <a:blip r:embed="rId16"/>
                    <a:stretch>
                      <a:fillRect/>
                    </a:stretch>
                  </pic:blipFill>
                  <pic:spPr>
                    <a:xfrm>
                      <a:off x="0" y="0"/>
                      <a:ext cx="5486400" cy="494842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6951741, E 482070 i SWEREF 99 TM.</w:t>
      </w:r>
    </w:p>
    <w:p>
      <w:r>
        <w:rPr>
          <w:b/>
        </w:rPr>
        <w:t>Blanksvart spiklav (NT)</w:t>
      </w:r>
      <w:r>
        <w:t xml:space="preserve"> förekommer på torr, hård, gammal kärnved men även på äldre ytved av tall i naturskogsartade bestånd med begränsad brandpåverkan och ostörd hydrologi. Skogsbruksåtgärder på eller i närheten av lokaler med blanksvart spiklav utgör ett hot. Naturskogsartade öppna tall- och barrblandskogar med blanksvart spiklav indikerar höga biologiska värden och bör bevaras (SLU Artdatabanken, 2024).</w:t>
      </w:r>
    </w:p>
    <w:p>
      <w:r>
        <w:rPr>
          <w:b/>
        </w:rPr>
        <w:t>Blågrå svartspik (NT)</w:t>
      </w:r>
      <w:r>
        <w:t xml:space="preserve"> växer på torr, hård ved av gamla, solbelysta torrakor, högstubbar av tall och grova döda grenar på levande tallar i öppna bestånd av naturskogskaraktär. Nästan alltid rör det sig om tjärrika torrträd och högstubbar (töreved, keloträd) som kan vara en bra bit över hundra år, i vissa fall sannolikt hundratals år gamla. Skogsbruk är idag det allvarligaste hotet. Ett långsiktigt hot är att nybildningen av gamla torrakor och högstubbar är en långsam process vilken ofta är beroende av skogsbrand. Nytt substrat bildas numera sannolikt nästan inte alls då antalet naturliga skogsbränder har minskat drastiskt på grund av effektivare brandbekämpning. Döda träd som lämnas efter avverkning är inte lämpliga för arten, eftersom dessa träd inte varit utsatta för skogsbrand och bildat tjärrik ved. Skogsbruksåtgärder på eller i närheten av växtplatserna bör undvikas. Naturskogsartade skogar med förekomst av arten indikerar höga biologiska värden och bör bevaras. Blågrå svartspik har en mycket begränsad utbredning utanför de nordiska länderna varför dessa länder har ett speciellt ansvar för arten (SLU Artdatabanken, 2024).</w:t>
      </w:r>
    </w:p>
    <w:p>
      <w:r>
        <w:rPr>
          <w:b/>
        </w:rPr>
        <w:t>Dvärgbägarlav (NT)</w:t>
      </w:r>
      <w:r>
        <w:t xml:space="preserve"> förekommer över hela Sverige på gammal hård ved, huvudsakligen på tall men i södra Sverige även på ek. Veden utgörs framförallt av grova stubbar, lågor och grenar. Substratet har blivit sällsyntare och nybildning av substrat sker bara i begränsad omfattning. Arten hotas av att grova lågor blir allt sällsyntare i dagens kulturskogar samt att nybildningen av lämpliga substrat går mycket långsamt. En riklig tillgång på gamla tall- eller eklågor måste säkerställas på artens lokaler (SLU Artdatabanken, 2024; Nitare &amp; Skogsstyrelsen, 2019).</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r>
        <w:rPr>
          <w:b/>
        </w:rPr>
        <w:t>Lunglav (NT)</w:t>
      </w:r>
      <w:r>
        <w:t xml:space="preserve">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Det finns ett antal sällsynta lavparasiter som växer på lunglav: lunglavsknapp (VU), skrovelmössing (DD), lunglavshårprick (DD), </w:t>
      </w:r>
      <w:r>
        <w:rPr>
          <w:i/>
        </w:rPr>
        <w:t>Calycina alstrupii</w:t>
      </w:r>
      <w:r>
        <w:t xml:space="preserve"> (NA) och </w:t>
      </w:r>
      <w:r>
        <w:rPr>
          <w:i/>
        </w:rPr>
        <w:t>Chalara lobariae</w:t>
      </w:r>
      <w:r>
        <w:t xml:space="preserve"> (NA) (SLU Artdatabanken, 2025; SLU Artdatabanken, 2024; Nitare &amp; Skogsstyrelsen, 2019).</w:t>
      </w:r>
    </w:p>
    <w:p>
      <w:r>
        <w:rPr>
          <w:b/>
        </w:rPr>
        <w:t>Mörk kolflarnlav (NT)</w:t>
      </w:r>
      <w:r>
        <w:t xml:space="preserve"> är brandberoende och växer nästan uteslutande på kolad hård kärnved av tall. Arten förekommer främst i glesa, öppna tall- och blandbarrskogar av naturskogskaraktär och etableringen verkar ske sent efter brand, kanske först efter 100–300 år. Mörk kolflarnlav indikerar skog med höga naturvärden och vanligast är att den påträffas på rester av nedbrunna torrakor och högstubbar och lågstubbar som är så grova att hela innandömet är urbränt. Tall- och blandbarrskogar av naturskogskaraktär med spår av återkommande bränder hyser höga biologiska värden och bör skyddas (SLU Artdatabanken, 2024).</w:t>
      </w:r>
    </w:p>
    <w:p>
      <w:r>
        <w:rPr>
          <w:b/>
        </w:rPr>
        <w:t>Stuplav</w:t>
      </w:r>
      <w:r>
        <w:t xml:space="preserve"> är en mycket bra signalart i hela sitt utbredningsområde och förekommer nästan enbart i skogsmiljöer med höga naturvärden. Den indikerar långvarig förekomst av gamla lövträd och miljöer med konstant hög luftfuktighet. I skogar med suboceaniskt klimat finns det en mycket sällsynt parasit, njurlavsknapp </w:t>
      </w:r>
      <w:r>
        <w:rPr>
          <w:i/>
        </w:rPr>
        <w:t>Pletocarpon nephromeum</w:t>
      </w:r>
      <w:r>
        <w:t xml:space="preserve"> (EN), som växer på stuplav (SLU Artdatabanken, 2024; Nitare &amp; Skogsstyrelsen, 2019).</w:t>
      </w:r>
    </w:p>
    <w:p>
      <w:r>
        <w:rPr>
          <w:b/>
        </w:rPr>
        <w:t>Vedflamlav (NT)</w:t>
      </w:r>
      <w:r>
        <w:t xml:space="preserve"> växer på gammal hård och torr, exponerad kärnved av tall, främst på högstubbar i ljusöppna lägen, t.ex. vid och på myrar, sjökanter, i glesa hällmarkskogar och i brandpräglade tallnaturskogar. Substratet nyskapas i begränsad omfattning och arten är en utmärkt indikator på höga naturvärden i denna skogstyp. Tall- och barrblandskogar med naturskogskaraktär och spår av bränder har ofta höga biologiska värden och bör skyddas (SLU Artdatabanken, 2024).</w:t>
      </w:r>
    </w:p>
    <w:p>
      <w:pPr>
        <w:pStyle w:val="Heading1"/>
      </w:pPr>
      <w:r>
        <w:t>Fridlysta arter</w:t>
      </w:r>
    </w:p>
    <w:p>
      <w:r>
        <w:t>Följande fridlysta arter har sina livsmiljöer och växtplatser i den avverkningsanmälda skogen: knärot (VU, §8) och tjäder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Knärot (VU, §8)</w:t>
      </w:r>
      <w:r>
        <w:t xml:space="preserve"> är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1 fyndplatser för knärot registrerade på Artportalen. Figur 2 visar gränserna för buffertzoner på 50 m, som behöver lämnas kring fyndplatserna för att knärotslokalerna inte ska försvinna vid en avverkning. Av det avverkningsanmälda området överlappar 0.72 ha med buffertzonerna och får av detta skäl inte avverkas.</w:t>
      </w:r>
    </w:p>
    <w:p>
      <w:pPr>
        <w:pStyle w:val="Caption"/>
      </w:pPr>
      <w:r>
        <w:drawing>
          <wp:inline xmlns:a="http://schemas.openxmlformats.org/drawingml/2006/main" xmlns:pic="http://schemas.openxmlformats.org/drawingml/2006/picture">
            <wp:extent cx="5486400" cy="6064215"/>
            <wp:docPr id="2" name="Picture 2"/>
            <wp:cNvGraphicFramePr>
              <a:graphicFrameLocks noChangeAspect="1"/>
            </wp:cNvGraphicFramePr>
            <a:graphic>
              <a:graphicData uri="http://schemas.openxmlformats.org/drawingml/2006/picture">
                <pic:pic>
                  <pic:nvPicPr>
                    <pic:cNvPr id="0" name="A 28615-2025 karta knärot.png"/>
                    <pic:cNvPicPr/>
                  </pic:nvPicPr>
                  <pic:blipFill>
                    <a:blip r:embed="rId17"/>
                    <a:stretch>
                      <a:fillRect/>
                    </a:stretch>
                  </pic:blipFill>
                  <pic:spPr>
                    <a:xfrm>
                      <a:off x="0" y="0"/>
                      <a:ext cx="5486400" cy="6064215"/>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6951741, E 482070 i SWEREF 99 TM.</w:t>
      </w:r>
    </w:p>
    <w:p>
      <w:pPr>
        <w:pStyle w:val="Caption"/>
      </w:pPr>
    </w:p>
    <w:p>
      <w:r>
        <w:rPr>
          <w:b/>
        </w:rPr>
        <w:t>Tjäder (§4)</w:t>
      </w:r>
      <w:r>
        <w:t xml:space="preserve">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11 naturvårdsarter varav 8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w:t>
        <w:br/>
        <w:t>Fridlysta och rödlistade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p>
      <w:pPr>
        <w:pStyle w:val="Heading1"/>
      </w:pPr>
      <w:r>
        <w:t>Lunglav – ekologi samt krav på livsmiljön</w:t>
      </w:r>
    </w:p>
    <w:p>
      <w:r>
        <w:t>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ett antal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Nyligen har ytterligare två lavparasiter påträffats i Sverige som växer på lunglav: </w:t>
      </w:r>
      <w:r>
        <w:rPr>
          <w:i/>
        </w:rPr>
        <w:t>Calycina alstrupii</w:t>
      </w:r>
      <w:r>
        <w:t xml:space="preserve"> (NA) och </w:t>
      </w:r>
      <w:r>
        <w:rPr>
          <w:i/>
        </w:rPr>
        <w:t>Chalara lobariae</w:t>
      </w:r>
      <w:r>
        <w:t xml:space="preserve"> (NA) (SLU Artdatabanken, 2025;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p>
      <w:r>
        <w:t xml:space="preserve">SLU Artdatabanken, 2025. </w:t>
      </w:r>
      <w:r>
        <w:rPr>
          <w:i/>
        </w:rPr>
        <w:t xml:space="preserve">Över 20 nya lavparasiter för Sverige. </w:t>
      </w:r>
      <w:r>
        <w:t>https://www.slu.se/artdatabanken/arter-och-natur/artiklar/over-20-nya-lavparasiter-for-sverige/</w:t>
      </w:r>
    </w:p>
    <w:p>
      <w:pPr>
        <w:pStyle w:val="Heading1"/>
      </w:pPr>
      <w:r>
        <w:t>Tjäder – ekologi samt krav på livsmiljön</w:t>
      </w:r>
    </w:p>
    <w:p>
      <w:r>
        <w:t>Tjäder (§4)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(Skogsstyrelsen, 2019).</w:t>
      </w:r>
    </w:p>
    <w:p>
      <w:r>
        <w:t>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w:t>
      </w:r>
    </w:p>
    <w:p>
      <w:pPr>
        <w:pStyle w:val="Heading2"/>
      </w:pPr>
      <w:r>
        <w:t>Referenser – tjäder</w:t>
      </w:r>
    </w:p>
    <w:p>
      <w:r>
        <w:t xml:space="preserve">Skogsstyrelsen, 2019. </w:t>
      </w:r>
      <w:r>
        <w:rPr>
          <w:i/>
        </w:rPr>
        <w:t xml:space="preserve">Vägledning för hänsyn till fåglar – tjäder. </w:t>
      </w:r>
      <w:r>
        <w:t>https://www.skogsstyrelsen.se/globalassets/lag-och-tillsyn/artskydd/vagledningar-for-hansyn-till-faglar/tjader-vagledning-hansyn2.pdf</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2026-01-17</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