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47858-2025 i Bergs kommun</w:t>
      </w:r>
    </w:p>
    <w:p>
      <w:r>
        <w:t>Denna tillsynsbegäran behandlar höga naturvärden i avverkningsanmälan A 47858-2025 i Bergs kommun som inkom 2025-10-02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54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85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54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6966103, E 413891 i SWEREF 99 TM.</w:t>
      </w:r>
    </w:p>
    <w:p>
      <w:r>
        <w:t>I avverkningsanmälan finns fynd av 2 naturvårdsarter, varav 1 är rödlistad, 1 är typisk (T) och 1 är signalart (S): blanksvart spiklav (NT)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Blanksvart spiklav (NT)</w:t>
      </w:r>
      <w:r>
        <w:t xml:space="preserve"> förekommer på torr, hård, gammal kärnved men även på äldre ytved av tall i naturskogsartade bestånd med begränsad brandpåverkan och ostörd hydrologi. Skogsbruksåtgärder på eller i närheten av lokaler med blanksvart spiklav utgör ett hot. Naturskogsartade öppna tall- och barrblandskogar med blanksvart spiklav indikerar höga biologiska värden och bör bevaras (SLU Artdatabanken, 2024).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