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36108-2026 i Bergs kommun</w:t>
      </w:r>
    </w:p>
    <w:p>
      <w:r>
        <w:t>Denna tillsynsbegäran behandlar höga naturvärden i avverkningsanmälan A 36108-2026 i Bergs kommun som inkom 2026-09-02 och omfattar 23,5 ha.</w:t>
      </w:r>
    </w:p>
    <w:p>
      <w:pPr>
        <w:pStyle w:val="Caption"/>
      </w:pPr>
      <w:r>
        <w:drawing>
          <wp:inline xmlns:a="http://schemas.openxmlformats.org/drawingml/2006/main" xmlns:pic="http://schemas.openxmlformats.org/drawingml/2006/picture">
            <wp:extent cx="5486400" cy="3365369"/>
            <wp:docPr id="1" name="Picture 1"/>
            <wp:cNvGraphicFramePr>
              <a:graphicFrameLocks noChangeAspect="1"/>
            </wp:cNvGraphicFramePr>
            <a:graphic>
              <a:graphicData uri="http://schemas.openxmlformats.org/drawingml/2006/picture">
                <pic:pic>
                  <pic:nvPicPr>
                    <pic:cNvPr id="0" name="A 36108-2026 karta.png"/>
                    <pic:cNvPicPr/>
                  </pic:nvPicPr>
                  <pic:blipFill>
                    <a:blip r:embed="rId16"/>
                    <a:stretch>
                      <a:fillRect/>
                    </a:stretch>
                  </pic:blipFill>
                  <pic:spPr>
                    <a:xfrm>
                      <a:off x="0" y="0"/>
                      <a:ext cx="5486400" cy="336536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6989383, E 464118 i SWEREF 99 TM.</w:t>
      </w:r>
    </w:p>
    <w:p>
      <w:r>
        <w:t>I och inom 17 meter från avverkningsanmälan finns fynd av 23 naturvårdsarter, varav 11 är rödlistade, 13 är fridlysta, 14 är typiska (T) och 7 är signalarter (S): storspov (EN, §4), garnlav (VU, T), knärot (VU, T, §8), björktrast (NT, §4), harticka (NT, T), lavskrika (NT, T, §4), lunglav (NT, T), skrovellav (NT, T), tretåig hackspett (NT, T, §4), ullticka (NT, T), vitgrynig nållav (NT), korallrot (S, T, §8), luddlav (S, T), spindelblomster (S, T, §8), svavelriska (S), trådticka (S, T), tvåblad (S, §8), vedticka (S, T), spillkråka (T, §4), grönsiska (§4), kungsfågel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2.82 ha med buffertzonerna och får av detta skäl inte avverkas.</w:t>
      </w:r>
    </w:p>
    <w:p>
      <w:pPr>
        <w:pStyle w:val="Caption"/>
      </w:pPr>
      <w:r>
        <w:drawing>
          <wp:inline xmlns:a="http://schemas.openxmlformats.org/drawingml/2006/main" xmlns:pic="http://schemas.openxmlformats.org/drawingml/2006/picture">
            <wp:extent cx="5486400" cy="2992068"/>
            <wp:docPr id="2" name="Picture 2"/>
            <wp:cNvGraphicFramePr>
              <a:graphicFrameLocks noChangeAspect="1"/>
            </wp:cNvGraphicFramePr>
            <a:graphic>
              <a:graphicData uri="http://schemas.openxmlformats.org/drawingml/2006/picture">
                <pic:pic>
                  <pic:nvPicPr>
                    <pic:cNvPr id="0" name="A 36108-2026 karta knärot.png"/>
                    <pic:cNvPicPr/>
                  </pic:nvPicPr>
                  <pic:blipFill>
                    <a:blip r:embed="rId17"/>
                    <a:stretch>
                      <a:fillRect/>
                    </a:stretch>
                  </pic:blipFill>
                  <pic:spPr>
                    <a:xfrm>
                      <a:off x="0" y="0"/>
                      <a:ext cx="5486400" cy="29920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6989383, E 464118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lavskrika (NT, T, §4), lunglav (NT, T), skrovellav (NT, T), tretåig hackspett (NT, T, §4), ullticka (NT, T), korallrot (S, T, §8), luddlav (S, T), spindelblomster (S, T, §8), trådticka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