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293-2024 i Bergs kommun</w:t>
      </w:r>
    </w:p>
    <w:p>
      <w:r>
        <w:t>Denna tillsynsbegäran behandlar höga naturvärden i samrådsanmälan S 293-2024 i Bergs kommun som inkom 2024-02-01 och omfattar 1209,8 ha.</w:t>
      </w:r>
    </w:p>
    <w:p>
      <w:pPr>
        <w:pStyle w:val="Caption"/>
      </w:pPr>
      <w:r>
        <w:drawing>
          <wp:inline xmlns:a="http://schemas.openxmlformats.org/drawingml/2006/main" xmlns:pic="http://schemas.openxmlformats.org/drawingml/2006/picture">
            <wp:extent cx="5486400" cy="4025245"/>
            <wp:docPr id="1" name="Picture 1"/>
            <wp:cNvGraphicFramePr>
              <a:graphicFrameLocks noChangeAspect="1"/>
            </wp:cNvGraphicFramePr>
            <a:graphic>
              <a:graphicData uri="http://schemas.openxmlformats.org/drawingml/2006/picture">
                <pic:pic>
                  <pic:nvPicPr>
                    <pic:cNvPr id="0" name="S 293-2024 karta.png"/>
                    <pic:cNvPicPr/>
                  </pic:nvPicPr>
                  <pic:blipFill>
                    <a:blip r:embed="rId16"/>
                    <a:stretch>
                      <a:fillRect/>
                    </a:stretch>
                  </pic:blipFill>
                  <pic:spPr>
                    <a:xfrm>
                      <a:off x="0" y="0"/>
                      <a:ext cx="5486400" cy="402524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6944998, E 439535 i SWEREF 99 TM.</w:t>
      </w:r>
    </w:p>
    <w:p>
      <w:r>
        <w:t>I och inom 21 meter från samrådsanmälan finns fynd av 12 naturvårdsarter, varav 8 är rödlistade, 7 är fridlysta och 7 är typiska (T): garnlav (VU, T), brunklöver (NT), dvärgbägarlav (NT, T), knottrig blåslav (NT, T), kungsörn (NT, §4), mindre hackspett (NT, T, §4), nordtagging (NT), talltita (NT, §4), mattlummer (T, §9),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dvärgbägarlav (NT, T), knottrig blåslav (NT, T), mindre hackspett (NT, T, §4),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