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26648-2024 i Bergs kommun</w:t>
      </w:r>
    </w:p>
    <w:p>
      <w:r>
        <w:t>Detta dokument behandlar höga naturvärden i avverkningsanmälan A 26648-2024 i Bergs kommun. Denna avverkningsanmälan inkom 2024-06-27 och omfattar 41,1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27 naturvårdsarter hittats: gräddporing (VU), tallstocksticka (VU), blanksvart spiklav (NT), blågrå svartspik (NT), dvärgbägarlav (NT), gammelgransskål (NT), garnlav (NT), granticka (NT), gränsticka (NT), halmgul örnlav (NT), liten svartspik (NT), nordtagging (NT), skrovellav (NT), spillkråka (NT, §4), vedflamlav (NT), vedskivlav (NT), vedtrappmossa (NT), violettgrå tagellav (NT), vitgrynig nållav (NT), vitskaftad svartspik (NT), dropptaggsvamp (S), korallrot (S, §8), plattlummer (S, §9), spindelblomster (S, §8), stuplav (S), vedticka (S) och ögonpyrola (S).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1190"/>
            <wp:docPr id="1" name="Picture 1"/>
            <wp:cNvGraphicFramePr>
              <a:graphicFrameLocks noChangeAspect="1"/>
            </wp:cNvGraphicFramePr>
            <a:graphic>
              <a:graphicData uri="http://schemas.openxmlformats.org/drawingml/2006/picture">
                <pic:pic>
                  <pic:nvPicPr>
                    <pic:cNvPr id="0" name="A 26648-2024 karta.png"/>
                    <pic:cNvPicPr/>
                  </pic:nvPicPr>
                  <pic:blipFill>
                    <a:blip r:embed="rId16"/>
                    <a:stretch>
                      <a:fillRect/>
                    </a:stretch>
                  </pic:blipFill>
                  <pic:spPr>
                    <a:xfrm>
                      <a:off x="0" y="0"/>
                      <a:ext cx="5486400" cy="35011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6962206, E 402688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pPr>
        <w:pStyle w:val="Heading1"/>
      </w:pPr>
      <w:r>
        <w:t>Fridlysta arter</w:t>
      </w:r>
    </w:p>
    <w:p>
      <w:r>
        <w:t>Följande fridlysta arter har sina livsmiljöer och växtplatser i den avverkningsanmälda skogen: spillkråka (NT, §4), korallrot (S, §8), plattlummer (S, §9)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