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17 meter från avverkningsanmälan finns fynd av 4 naturvårdsarter, varav 2 är rödlistade, 2 är fridlysta och 2 är typiska (T): källgräs (VU), kungsörn (NT, §4), gråsiska (T, §4)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