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och inom 15 meter från avverkningsanmälan finns fynd av 8 naturvårdsarter, varav 6 är rödlistade, 2 är fridlysta, 5 är typiska (T) och 1 är signalart (S): blå taggsvamp (NT, T), harticka (NT, T), skrovellav (NT, T), svartvit taggsvamp (NT), talltita (NT, §4), ullticka (NT,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