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37062-2025 i Bergs kommun</w:t>
      </w:r>
    </w:p>
    <w:p>
      <w:r>
        <w:t>Detta klagomål behandlar höga naturvärden i avverkningsanmälan A 37062-2025 i Bergs kommun som inkom 2025-08-06 och omfattar 8,5 ha.</w:t>
      </w:r>
    </w:p>
    <w:p>
      <w:pPr>
        <w:pStyle w:val="Caption"/>
      </w:pPr>
      <w:r>
        <w:drawing>
          <wp:inline xmlns:a="http://schemas.openxmlformats.org/drawingml/2006/main" xmlns:pic="http://schemas.openxmlformats.org/drawingml/2006/picture">
            <wp:extent cx="5486400" cy="5654197"/>
            <wp:docPr id="1" name="Picture 1"/>
            <wp:cNvGraphicFramePr>
              <a:graphicFrameLocks noChangeAspect="1"/>
            </wp:cNvGraphicFramePr>
            <a:graphic>
              <a:graphicData uri="http://schemas.openxmlformats.org/drawingml/2006/picture">
                <pic:pic>
                  <pic:nvPicPr>
                    <pic:cNvPr id="0" name="A 37062-2025 karta.png"/>
                    <pic:cNvPicPr/>
                  </pic:nvPicPr>
                  <pic:blipFill>
                    <a:blip r:embed="rId16"/>
                    <a:stretch>
                      <a:fillRect/>
                    </a:stretch>
                  </pic:blipFill>
                  <pic:spPr>
                    <a:xfrm>
                      <a:off x="0" y="0"/>
                      <a:ext cx="5486400" cy="5654197"/>
                    </a:xfrm>
                    <a:prstGeom prst="rect"/>
                  </pic:spPr>
                </pic:pic>
              </a:graphicData>
            </a:graphic>
          </wp:inline>
        </w:drawing>
      </w:r>
    </w:p>
    <w:p>
      <w:pPr>
        <w:pStyle w:val="Caption"/>
        <w:spacing w:after="240"/>
      </w:pPr>
      <w:r>
        <w:t>Figur 1. Fyndplatser för naturvårdsarter inom 16 meter från avverkningsanmälan. Markörer utan svart kant är placerade på fyndplatsen. Markörer med svart kant är placerade vid sidan av fyndplatsen har ett svart streck som visar fyndplatsens exakta position. Kartans mittpunktskoordinat är N 6971287, E 415495 i SWEREF 99 TM.</w:t>
      </w:r>
    </w:p>
    <w:p>
      <w:r>
        <w:t>Inom 16 meter från avverkningsanmälan finns fynd av 3 naturvårdsarter, varav 3 är typiska (T) och 3 är signalarter (S): tibast (S, T), underviol (S, T) och ögonpyrola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r>
        <w:rPr>
          <w:b/>
        </w:rPr>
        <w:t xml:space="preserve">Underviol </w:t>
      </w:r>
      <w:r>
        <w:t xml:space="preserve">är en bra signalart i hela sitt utbredningsområde i såväl lövlundar som kalkbarrskogar. Arten är särskilt intressant när den förekommer i barrskog och indikerar då troligen relikta och hotade kalkbarrskogsekosystem. Underviol tål inte dagens storskaliga skogsbruksmetoder även om den vid enstaka tillfällen lyckas kvarstå i fuktdråg efter avverkning. Underviol är typisk art för </w:t>
      </w:r>
      <w:r>
        <w:rPr>
          <w:i/>
        </w:rPr>
        <w:t xml:space="preserve">9050 Näringsrik granskog, 9020 Nordlig ädellövskog </w:t>
      </w:r>
      <w:r>
        <w:t xml:space="preserve">och </w:t>
      </w:r>
      <w:r>
        <w:rPr>
          <w:i/>
        </w:rPr>
        <w:t>9160 Näringsrik ekskog</w:t>
      </w:r>
      <w:r>
        <w:t xml:space="preserve"> (Nitare &amp; Skogsstyrelsen, 2019; SLU Artdatabanken, 2024).</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