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34238-2026 i Bergs kommun</w:t>
      </w:r>
    </w:p>
    <w:p>
      <w:r>
        <w:t>Denna tillsynsbegäran behandlar höga naturvärden i avverkningsanmälan A 34238-2026 i Bergs kommun som inkom 2026-08-19 och omfattar 23,2 ha.</w:t>
      </w:r>
    </w:p>
    <w:p>
      <w:pPr>
        <w:pStyle w:val="Caption"/>
      </w:pPr>
      <w:r>
        <w:drawing>
          <wp:inline xmlns:a="http://schemas.openxmlformats.org/drawingml/2006/main" xmlns:pic="http://schemas.openxmlformats.org/drawingml/2006/picture">
            <wp:extent cx="5486400" cy="5528194"/>
            <wp:docPr id="1" name="Picture 1"/>
            <wp:cNvGraphicFramePr>
              <a:graphicFrameLocks noChangeAspect="1"/>
            </wp:cNvGraphicFramePr>
            <a:graphic>
              <a:graphicData uri="http://schemas.openxmlformats.org/drawingml/2006/picture">
                <pic:pic>
                  <pic:nvPicPr>
                    <pic:cNvPr id="0" name="A 34238-2026 karta.png"/>
                    <pic:cNvPicPr/>
                  </pic:nvPicPr>
                  <pic:blipFill>
                    <a:blip r:embed="rId16"/>
                    <a:stretch>
                      <a:fillRect/>
                    </a:stretch>
                  </pic:blipFill>
                  <pic:spPr>
                    <a:xfrm>
                      <a:off x="0" y="0"/>
                      <a:ext cx="5486400" cy="5528194"/>
                    </a:xfrm>
                    <a:prstGeom prst="rect"/>
                  </pic:spPr>
                </pic:pic>
              </a:graphicData>
            </a:graphic>
          </wp:inline>
        </w:drawing>
      </w:r>
    </w:p>
    <w:p>
      <w:pPr>
        <w:pStyle w:val="Caption"/>
        <w:spacing w:after="240"/>
      </w:pPr>
      <w:r>
        <w:t>Figur 1. Fyndplatser för naturvårdsarter i och inom 24 meter från avverkningsanmälan. Markörer utan svart kant är placerade på fyndplatsen. Markörer med svart kant är placerade vid sidan av fyndplatsen och har ett svart streck som visar fyndplatsens exakta position. Kartans mittpunktskoordinat är N 6917353, E 485630 i SWEREF 99 TM.</w:t>
      </w:r>
    </w:p>
    <w:p>
      <w:r>
        <w:t>I och inom 24 meter från avverkningsanmälan finns fynd av 23 naturvårdsarter, varav 18 är rödlistade, 4 är fridlysta, 14 är typiska (T) och 4 är signalarter (S): kolticka (CR), garnlav (VU, T), gräddporing (VU, T), gränsticka (VU, T), knärot (VU, T, §8), laxgröppa (VU), skrovlig taggsvamp (VU), blanksvart spiklav (NT), blågrå svartspik (NT), dropptaggsvamp (NT, T), dvärgbägarlav (NT, T), kolflarnlav (NT, T), mörk kolflarnlav (NT), tretåig hackspett (NT, T, §4), vaddporing (NT), vedflamlav (NT), vedskivlav (NT, T), vitplätt (NT), grönpyrola (S, T), spindelblomster (S, T, §8), stuplav (S, T), vedticka (S, T) och tjäder (T, §4).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begär vidare att Skogsstyrelsen säkerställer att inga skador eller försämringar av naturtypens bevarandestatus i området tillåts ske. Se Rådets direktiv 92/43/EEG samt ickeförsämringskravet i EU:s naturrestaureringsförordning (EU 2024/1991).</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 xml:space="preserve">Kolticka (CR) </w:t>
      </w:r>
      <w:r>
        <w:t>är en mycket sällsynt och akut hotad art som endast växer på brända ytor av grova tallågor, ett substrat som blir alltmer sällsynt och numera bara påträffas i gammal barrskog. Svampens växtplatser bör undantas från skogsbruk och man bör lägga särskild vikt vid att spara gamla tallar. De kända lokalerna bör övervakas och om behov föreligger ges juridiskt skydd. För att säkerställa artens fortlevnad är det eftersträvansvärt att bränna lämpliga skogspartier och låta den brända veden ligga kvar. På sikt är bristen på lämpligt substrat i det kringliggande landskapet ett hot mot artens fortlevnad (SLU Artdatabanken, 2026).</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Gräddporing (VU)</w:t>
      </w:r>
      <w:r>
        <w:t xml:space="preserve"> växer nästan enbart i urskogsartad barrskog på gamla, kraftigt murkna, grova och mossbelupna tallågor i något fuktiga och skuggiga lägen. Arten är placerad högst upp i Skogsstyrelsens värdepyramid för bedömning av skog med höga naturvärden och indikerar gamla och relativt orörda tallnaturskogar med höga naturvärden där det under låg tid kontinuerligt funnits inslag av grova tallågor. För att på sikt hejda artens vikande trend behöver merparten av gräddporingens nu kända växtplatser undantas från skogsbruk. Gräddporing är typisk art för </w:t>
      </w:r>
      <w:r>
        <w:rPr>
          <w:i/>
        </w:rPr>
        <w:t>9010 Taiga</w:t>
      </w:r>
      <w:r>
        <w:t xml:space="preserve"> (SLU Artdatabanken, 2024; Nitare &amp; Skogsstyrelsen, 2019).</w:t>
      </w:r>
    </w:p>
    <w:p>
      <w:r>
        <w:rPr>
          <w:b/>
        </w:rPr>
        <w:t>Gränsticka (VU)</w:t>
      </w:r>
      <w:r>
        <w:t xml:space="preserve"> är en mycket bra signalart inom hela sitt utbredningsområde. Den är huvudsakligen knuten till restbestånd av barrnaturskog och förekommer med ett tydligt optimum i orörda eller måttligt påverkade gamla granskogar där det föreligger långvarig kontinuitet av grov död ved. Den totala populationen bedöms ha minskat och fortsätter att minska i takt med att grankontinuitetsskogar (äldre tidigare icke kalavverkade skogar) minskar i areal. Minskningstakten överstiger gränsvärdet för sårbar (VU). Lokaler som hyser arten bör undantas från skogsbruk, speciellt i mellersta och södra Sverige. Gränsticka är typisk art för </w:t>
      </w:r>
      <w:r>
        <w:rPr>
          <w:i/>
        </w:rPr>
        <w:t>9010 Taiga</w:t>
      </w:r>
      <w:r>
        <w:t xml:space="preserve"> (SLU Artdatabanken, 2026; Nitare &amp; Skogsstyrelsen, 2019).</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Ytterligare en studie visar på den starka korrelationen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7 fyndplatser för knärot registrerade på Artportalen. Figur 2 visar gränserna för buffertzoner på 50 m, som behöver lämnas kring fyndplatserna för att knärotslokalerna inte ska försvinna vid en avverkning. Av det avverkningsanmälda området överlappar 1.67 ha med buffertzonerna och får av detta skäl inte avverkas.</w:t>
      </w:r>
    </w:p>
    <w:p>
      <w:pPr>
        <w:pStyle w:val="Caption"/>
      </w:pPr>
      <w:r>
        <w:drawing>
          <wp:inline xmlns:a="http://schemas.openxmlformats.org/drawingml/2006/main" xmlns:pic="http://schemas.openxmlformats.org/drawingml/2006/picture">
            <wp:extent cx="5486400" cy="7495504"/>
            <wp:docPr id="2" name="Picture 2"/>
            <wp:cNvGraphicFramePr>
              <a:graphicFrameLocks noChangeAspect="1"/>
            </wp:cNvGraphicFramePr>
            <a:graphic>
              <a:graphicData uri="http://schemas.openxmlformats.org/drawingml/2006/picture">
                <pic:pic>
                  <pic:nvPicPr>
                    <pic:cNvPr id="0" name="A 34238-2026 karta knärot.png"/>
                    <pic:cNvPicPr/>
                  </pic:nvPicPr>
                  <pic:blipFill>
                    <a:blip r:embed="rId17"/>
                    <a:stretch>
                      <a:fillRect/>
                    </a:stretch>
                  </pic:blipFill>
                  <pic:spPr>
                    <a:xfrm>
                      <a:off x="0" y="0"/>
                      <a:ext cx="5486400" cy="7495504"/>
                    </a:xfrm>
                    <a:prstGeom prst="rect"/>
                  </pic:spPr>
                </pic:pic>
              </a:graphicData>
            </a:graphic>
          </wp:inline>
        </w:drawing>
      </w:r>
    </w:p>
    <w:p>
      <w:pPr>
        <w:pStyle w:val="Caption"/>
        <w:spacing w:after="240"/>
      </w:pPr>
      <w:r>
        <w:t>Figur 2. Fyndplatser och buffertzoner för knärot i det avverkningsanmälda området. Endast fyndplatser vars buffertzoner överlappar med det avverkningsanmälda området har tagits med i visualiseringen. Kartans mittpunktskoordinat är N 6917353, E 485630 i SWEREF 99 TM.</w:t>
      </w:r>
    </w:p>
    <w:p>
      <w:r>
        <w:rPr>
          <w:b/>
        </w:rPr>
        <w:t>Laxgröppa (VU)</w:t>
      </w:r>
      <w:r>
        <w:t xml:space="preserve"> är en riktig urskogssvamp som påträffas på grova, starkt murkna, ofta brandskadade liggande stammar av tall, sällan gran i gammal barrskog. Arten missgynnas av skogsbruk och merparten av lokalerna bör skyddas (SLU Artdatabanken, 2024).</w:t>
      </w:r>
    </w:p>
    <w:p>
      <w:r>
        <w:rPr>
          <w:b/>
        </w:rPr>
        <w:t xml:space="preserve">Skrovlig taggsvamp (VU) </w:t>
      </w:r>
      <w:r>
        <w:t>bildar mykorrhiza med tall i äldre tallskog, framför allt på tallhed. Den växer huvudsakligen i äldre barrskog som hotas av slutavverkning. Genom att äldre barrskogar och naturskogar blir allt sällsyntare, missgynnas arten av skogsbruk. Arten ingår i ett åtgärdsprogram för hotade arter (ÅGP) och en långsiktig tillgång till svampens värdträd behöver säkras genom att växtplatserna undantas från avverkning. Skrovlig taggsvamp är globalt rödlistad som nära hotad (NT) vilket innebär att Sverige har ett internationellt ansvar för arten (IUCN, 2025; SLU Artdatabanken, 2026; Nitare, 2006).</w:t>
      </w:r>
    </w:p>
    <w:p>
      <w:r>
        <w:rPr>
          <w:b/>
        </w:rPr>
        <w:t>Blanksvart spiklav (NT)</w:t>
      </w:r>
      <w:r>
        <w:t xml:space="preserve"> förekommer på torr, hård, gammal kärnved men även på äldre ytved av tall i naturskogsartade bestånd med begränsad brandpåverkan och ostörd hydrologi. Skogsbruksåtgärder på eller i närheten av lokaler med blanksvart spiklav utgör ett hot. Naturskogsartade öppna tall- och barrblandskogar med blanksvart spiklav indikerar höga biologiska värden och bör bevaras (SLU Artdatabanken, 2024).</w:t>
      </w:r>
    </w:p>
    <w:p>
      <w:r>
        <w:rPr>
          <w:b/>
        </w:rPr>
        <w:t>Blågrå svartspik (NT)</w:t>
      </w:r>
      <w:r>
        <w:t xml:space="preserve"> växer på torr, hård ved av gamla, solbelysta torrakor, högstubbar av tall och grova döda grenar på levande tallar i öppna bestånd av naturskogskaraktär. Nästan alltid rör det sig om tjärrika torrträd och högstubbar (töreved, keloträd) som kan vara en bra bit över hundra år, i vissa fall sannolikt hundratals år gamla. Skogsbruk är idag det allvarligaste hotet. Ett långsiktigt hot är att nybildningen av gamla torrakor och högstubbar är en långsam process vilken ofta är beroende av skogsbrand. Nytt substrat bildas numera sannolikt nästan inte alls då antalet naturliga skogsbränder har minskat drastiskt på grund av effektivare brandbekämpning. Döda träd som lämnas efter avverkning är inte lämpliga för arten, eftersom dessa träd inte varit utsatta för skogsbrand och bildat tjärrik ved. Skogsbruksåtgärder på eller i närheten av växtplatserna bör undvikas. Naturskogsartade skogar med förekomst av arten indikerar höga biologiska värden och bör bevaras. Blågrå svartspik har en mycket begränsad utbredning utanför de nordiska länderna varför dessa länder har ett speciellt ansvar för arten (SLU Artdatabanken, 2024).</w:t>
      </w:r>
    </w:p>
    <w:p>
      <w:r>
        <w:rPr>
          <w:b/>
        </w:rPr>
        <w:t>Dropptaggsvamp (NT)</w:t>
      </w:r>
      <w:r>
        <w:t xml:space="preserve"> bildar mykorrhiza med tall, främst i barrskog med trädkontinuitet, i magra, torra och ljusöppna lavtallskogar och i barrblandskogar med friskmossor och lingon i fältskiktet. Den totala populationen i landet har minskat och bedöms fortsätta minska till följd av slutavverkningar av tallskog. Det är högst oklart om arten långsiktigt kan etablera och reproducera sig i skogsbestånd som brukas med trakthyggesmetoder, markberedning, gödsling eller föryngring med förädlat plantmaterial. Uppfyller kriterierna för att bli rödlistad på grund av ny kunskap som visar att en större andel av populationen än tidigare bedömt är knuten till kontinuitetsbarrskog. Minskningstakten för den svenska populationen bedöms vara nära gränsvärdet för Sårbar (VU). Dropptaggsvamp är typisk art för </w:t>
      </w:r>
      <w:r>
        <w:rPr>
          <w:i/>
        </w:rPr>
        <w:t xml:space="preserve">9010 Taiga </w:t>
      </w:r>
      <w:r>
        <w:t>(SLU Artdatabanken, 2026).</w:t>
      </w:r>
    </w:p>
    <w:p>
      <w:r>
        <w:rPr>
          <w:b/>
        </w:rPr>
        <w:t>Dvärgbägarlav (NT)</w:t>
      </w:r>
      <w:r>
        <w:t xml:space="preserve"> förekommer över hela Sverige på gammal hård ved, huvudsakligen på tall men i södra Sverige även på ek. Veden utgörs framförallt av grova stubbar, lågor och grenar. Substratet har blivit sällsyntare och nybildning av substrat sker bara i begränsad omfattning. Arten hotas av att grova lågor blir allt sällsyntare i dagens kulturskogar samt att nybildningen av lämpliga substrat går mycket långsamt. En riklig tillgång på gamla tall- eller eklågor måste säkerställas på artens lokaler. Dvärgbägarlav är typisk art för </w:t>
      </w:r>
      <w:r>
        <w:rPr>
          <w:i/>
        </w:rPr>
        <w:t>9010 Taiga</w:t>
      </w:r>
      <w:r>
        <w:t xml:space="preserve"> (SLU Artdatabanken, 2024; Nitare &amp; Skogsstyrelsen, 2019).</w:t>
      </w:r>
    </w:p>
    <w:p>
      <w:r>
        <w:rPr>
          <w:b/>
        </w:rPr>
        <w:t>Kolflarnlav (NT)</w:t>
      </w:r>
      <w:r>
        <w:t xml:space="preserve"> är brandberoende och växer nästan uteslutande på kolad hård kärnved av tall. Etableringen verkar ske först 100–300 år efter brand och nytt substrat nybildas i mycket begränsad omfattning. Avverkning av tallskog av naturskogskaraktär med spår av återkommande bränder är ett hot och mängden lämplig ved att växa på för arten minskar dels på grund av naturlig nedbrytning men framförallt på grund av att det förstörs i samband med slutavverkningar, gallringar och markberedning. Såväl kolflarnlav som mörk kolflarnlav har glänsande bålfjäll och förekommer främst i tall- och blandbarrskogar av naturskogskaraktär med spår av återkommande bränder. Skogar som dessa hyser höga biologiska värden och bör skyddas. Kolflarnlav är typisk art för </w:t>
      </w:r>
      <w:r>
        <w:rPr>
          <w:i/>
        </w:rPr>
        <w:t>9010 Taiga</w:t>
      </w:r>
      <w:r>
        <w:t xml:space="preserve"> (SLU Artdatabanken, 2024).</w:t>
      </w:r>
    </w:p>
    <w:p>
      <w:r>
        <w:rPr>
          <w:b/>
        </w:rPr>
        <w:t>Mörk kolflarnlav (NT)</w:t>
      </w:r>
      <w:r>
        <w:t xml:space="preserve"> är brandberoende och växer nästan uteslutande på kolad hård kärnved av tall. Arten förekommer främst i glesa, öppna tall- och blandbarrskogar av naturskogskaraktär och etableringen verkar ske sent efter brand, kanske först efter 100–300 år. Mörk kolflarnlav indikerar skog med höga naturvärden och vanligast är att den påträffas på rester av nedbrunna torrakor och högstubbar och lågstubbar som är så grova att hela innandömet är urbränt. Tall- och blandbarrskogar av naturskogskaraktär med spår av återkommande bränder hyser höga biologiska värden och bör skyddas (SLU Artdatabanken, 2024).</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Tretåig hackspett är typisk art för </w:t>
      </w:r>
      <w:r>
        <w:rPr>
          <w:i/>
        </w:rPr>
        <w:t xml:space="preserve">9010 Taiga, 9740 Skogsbevuxen myr, 9030 Landhöjningsskog </w:t>
      </w:r>
      <w:r>
        <w:t xml:space="preserve">och </w:t>
      </w:r>
      <w:r>
        <w:rPr>
          <w:i/>
        </w:rPr>
        <w:t>9040 Fjällbjörkskog</w:t>
      </w:r>
      <w:r>
        <w:t xml:space="preserve"> (Skogsstyrelsen, 2016; SLU Artdatabanken, 2024).</w:t>
      </w:r>
    </w:p>
    <w:p>
      <w:r>
        <w:rPr>
          <w:b/>
        </w:rPr>
        <w:t xml:space="preserve">Vaddporing (NT) </w:t>
      </w:r>
      <w:r>
        <w:t>är en brunrötande vednedbrytare som hittas på undersidan av liggande murken tallved i olika former. Substratet utgörs framför allt av den typ av hård, kådimpregnerad och ofta kolad tallved som skapas i brandpräglad skog. Vedtypen nybildas i mycket liten omfattning och det är sannolikt att arten upplever en utdöendeskuld. För att garantera artens fortlevnad bör man både säkra att artens växtplatser hålls intakta samt att långsiktigt säkerställa att ny ved tillkommer, allra helst i omedelbar anslutning till artens växtplatser. Skoglig gallring och annat uttag av virke innebär ett hot mot arten (SLU Artdatabanken, 2024).</w:t>
      </w:r>
    </w:p>
    <w:p>
      <w:r>
        <w:rPr>
          <w:b/>
        </w:rPr>
        <w:t>Vedflamlav (NT)</w:t>
      </w:r>
      <w:r>
        <w:t xml:space="preserve"> växer på gammal hård och torr, exponerad kärnved av tall, främst på högstubbar i ljusöppna lägen, t.ex. vid och på myrar, sjökanter, i glesa hällmarkskogar och i brandpräglade tallnaturskogar. Substratet nyskapas i begränsad omfattning och arten är en utmärkt indikator på höga naturvärden i denna skogstyp. Tall- och barrblandskogar med naturskogskaraktär och spår av bränder har ofta höga biologiska värden och bör skyddas. På vedflamlavens bål kan den sällsynta spiklaven/parasiten </w:t>
      </w:r>
      <w:r>
        <w:rPr>
          <w:i/>
        </w:rPr>
        <w:t>Calicium ramboldiicola</w:t>
      </w:r>
      <w:r>
        <w:t xml:space="preserve"> (VU) påträffas (SLU Artdatabanken, 2026).</w:t>
      </w:r>
    </w:p>
    <w:p>
      <w:r>
        <w:rPr>
          <w:b/>
        </w:rPr>
        <w:t>Vedskivlav (NT)</w:t>
      </w:r>
      <w:r>
        <w:t xml:space="preserve"> växer på gammal, torr, exponerad, hård kärnved av framförallt tall i naturskogsartade bestånd. Avverkning av tallskog av naturskogskaraktär med spår av återkommande bränder är ett hot. Mängden lämplig ved att växa på för vedskivlav minskar, dels på grund av naturlig nedbrytning men framförallt på grund av att de förstörs i samband med slutavverkningar, gallringar och markberedning. Tall- och blandbarrskogar av naturskogskaraktär med spår av återkommande bränder bör skyddas. Vedskivlav är typisk art för </w:t>
      </w:r>
      <w:r>
        <w:rPr>
          <w:i/>
        </w:rPr>
        <w:t>9010 Taiga</w:t>
      </w:r>
      <w:r>
        <w:t xml:space="preserve"> (SLU Artdatabanken, 2024).</w:t>
      </w:r>
    </w:p>
    <w:p>
      <w:r>
        <w:rPr>
          <w:b/>
        </w:rPr>
        <w:t>Vitplätt (NT)</w:t>
      </w:r>
      <w:r>
        <w:t xml:space="preserve"> är en nedbrytare av död, hård och torr tallved och orsakar brunröta. Den förekommer mest i äldre, naturskogsliknande tallskog eller blandskog med äldre tall. Arten hotas av avverkning av gammal, senvuxen tall. I södra Sverige råder brist på lämpliga habitat och arten kan inte längre sprida sig utanför sina få kända växtplatser. Lokaler med gammal tall bör undantas från skogsbruk, i synnerhet i södra Sverige (SLU Artdatabanken, 2024).</w:t>
      </w:r>
    </w:p>
    <w:p>
      <w:r>
        <w:rPr>
          <w:b/>
        </w:rPr>
        <w:t xml:space="preserve">Grönpyrola </w:t>
      </w:r>
      <w:r>
        <w:t xml:space="preserve">växer främst på sandig, torr eller frisk mark i äldre barrskog, ofta på isälvsmaterial såsom sand och grus. Den påträffas främst i äldre naturligt uppkomna barrskogar, exempelvis på tallmoar, i åssluttningar, dyner och rasbranter. Arten är känslig för skogsbruksmetoder såsom slutavverkning och markberedning. Grönpyrola är typisk art för </w:t>
      </w:r>
      <w:r>
        <w:rPr>
          <w:i/>
        </w:rPr>
        <w:t>9010 Taiga, 9060 Åsbarrskog</w:t>
      </w:r>
      <w:r>
        <w:t xml:space="preserve"> och</w:t>
      </w:r>
      <w:r>
        <w:rPr>
          <w:i/>
        </w:rPr>
        <w:t xml:space="preserve"> 1610 Åsöar i Östersjön </w:t>
      </w:r>
      <w:r>
        <w:t>(Nitare &amp; Skogsstyrelsen, 2019; SLU Artdatabanken, 2025).</w:t>
      </w:r>
    </w:p>
    <w:p>
      <w:r>
        <w:rPr>
          <w:b/>
        </w:rPr>
        <w:t>Spindelblomster (§8)</w:t>
      </w:r>
      <w:r>
        <w:t xml:space="preserve"> växer i äldre mossrik granskog eller barrblandskog, men även i fjällbjörkskog. Arten indikerar långvarig trädkontinuitet och hög luftfuktighet och är mycket känslig för uttorkning och markskador. Spindelblomster har i många trakter minskat starkt under senare tid på grund av slutavverkningar och skogsmarksdikning. Spindelblomster är typisk art för </w:t>
      </w:r>
      <w:r>
        <w:rPr>
          <w:i/>
        </w:rPr>
        <w:t xml:space="preserve">9010 Taiga, 9050 Näringsrik granskog </w:t>
      </w:r>
      <w:r>
        <w:t>och</w:t>
      </w:r>
      <w:r>
        <w:rPr>
          <w:i/>
        </w:rPr>
        <w:t xml:space="preserve"> 9040 Fjällbjörkskog</w:t>
      </w:r>
      <w:r>
        <w:t xml:space="preserve"> (Nitare &amp; Skogsstyrelsen, 2019; SLU Artdatabanken, 2025).</w:t>
      </w:r>
    </w:p>
    <w:p>
      <w:r>
        <w:rPr>
          <w:b/>
        </w:rPr>
        <w:t>Stuplav</w:t>
      </w:r>
      <w:r>
        <w:t xml:space="preserve"> är en mycket bra signalart i hela sitt utbredningsområde och förekommer nästan enbart i skogsmiljöer med höga naturvärden. Den indikerar långvarig förekomst av gamla lövträd och miljöer med konstant hög luftfuktighet. I skogar med suboceaniskt klimat finns det en mycket sällsynt parasit, njurlavsknapp </w:t>
      </w:r>
      <w:r>
        <w:rPr>
          <w:i/>
        </w:rPr>
        <w:t>Pletocarpon nephromeum</w:t>
      </w:r>
      <w:r>
        <w:t xml:space="preserve"> (EN), som växer på stuplav. Ytterligare tre sällsynta lavparasiter, </w:t>
      </w:r>
      <w:r>
        <w:rPr>
          <w:i/>
        </w:rPr>
        <w:t>Protounguicularia nephromatis</w:t>
      </w:r>
      <w:r>
        <w:t xml:space="preserve"> (VU), </w:t>
      </w:r>
      <w:r>
        <w:rPr>
          <w:i/>
        </w:rPr>
        <w:t>Refractohilum galligenum</w:t>
      </w:r>
      <w:r>
        <w:t xml:space="preserve"> (NT) och </w:t>
      </w:r>
      <w:r>
        <w:rPr>
          <w:i/>
        </w:rPr>
        <w:t>Roselliniella nephromatis</w:t>
      </w:r>
      <w:r>
        <w:t xml:space="preserve"> (DD), kan också påträffas på stuplav. Stuplav är typisk art för </w:t>
      </w:r>
      <w:r>
        <w:rPr>
          <w:i/>
        </w:rPr>
        <w:t>9010 Taiga</w:t>
      </w:r>
      <w:r>
        <w:t xml:space="preserve"> (SLU Artdatabanken, 2026; Nitare &amp; Skogsstyrelsen, 2019).</w:t>
      </w:r>
    </w:p>
    <w:p>
      <w:r>
        <w:rPr>
          <w:b/>
        </w:rPr>
        <w:t xml:space="preserve">Vedticka </w:t>
      </w:r>
      <w:r>
        <w:t xml:space="preserve">är en bra signalart söder om den naturliga norrlandsgränsen. Den är huvudsakligen knuten till äldre barrskogar där det föreligger långvarig kontinuitet av död barrved. Vedticka är typisk art för </w:t>
      </w:r>
      <w:r>
        <w:rPr>
          <w:i/>
        </w:rPr>
        <w:t xml:space="preserve">9010 Taiga </w:t>
      </w:r>
      <w:r>
        <w:t>(Nitare &amp; Skogsstyrelsen, 2019; SLU Artdatabanken, 2025).</w:t>
      </w:r>
    </w:p>
    <w:p>
      <w:r>
        <w:rPr>
          <w:b/>
        </w:rPr>
        <w:t>Tjäder (§4)</w:t>
      </w:r>
      <w:r>
        <w:t xml:space="preserve">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 SLU Artdatabanken, 2024).</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pPr>
        <w:pStyle w:val="Heading1"/>
      </w:pPr>
      <w:r>
        <w:t>Typiska arter och EU:s art- och habitatdirektiv</w:t>
      </w:r>
    </w:p>
    <w:p>
      <w:r>
        <w:t>Typiska arter används för att lokalisera områden med gynnsam bevarandestatus för de naturtyper som är listade i EU:s art- och habitatdirektiv. Ett exempel är Västlig taiga (EU-kod 9010) som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w:t>
      </w:r>
    </w:p>
    <w:p>
      <w:r>
        <w:t>Följande typiska arter har sina livsmiljöer och växtplatser i den avverkningsanmälda skogen: garnlav (VU, T), gräddporing (VU, T), gränsticka (VU, T), knärot (VU, T, §8), dropptaggsvamp (NT, T), dvärgbägarlav (NT, T), kolflarnlav (NT, T), tretåig hackspett (NT, T, §4), vedskivlav (NT, T), grönpyrola (S, T), spindelblomster (S, T, §8), stuplav (S, T), vedticka (S, T) och tjäder (T, §4).</w:t>
      </w:r>
    </w:p>
    <w:p>
      <w:r>
        <w:t>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r>
        <w:t>Trots detta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w:t>
      </w:r>
      <w:r>
        <w:rPr>
          <w:b/>
        </w:rPr>
        <w:t xml:space="preserve"> </w:t>
      </w:r>
      <w:r>
        <w:t>inte har gynnsam bevarandestatus.</w:t>
      </w:r>
    </w:p>
    <w:p>
      <w:r>
        <w:t>Åtgärder som vidtas i enlighet med art- och habitatdirektivet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w:t>
      </w:r>
    </w:p>
    <w:p>
      <w:r>
        <w:t>EU-direktiv är bindande för EU:s medlemsländer varvid det ankommer på Skogsstyrelsen som nationell tillsynsmyndighet att beakta syftet med EU:s art- och habitatdirektiv vid prövningen av en skogsbruksverksamhet, se Rådets direktiv 92/43/EEG. Se ytterligare information om EU:s livsmiljödirektiv i bilaga 2.</w:t>
      </w:r>
    </w:p>
    <w:p>
      <w:r>
        <w:br w:type="page"/>
      </w:r>
    </w:p>
    <w:p>
      <w:pPr>
        <w:pStyle w:val="Title"/>
      </w:pPr>
      <w:r>
        <w:t>BILAGA 1 – Fridlysta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 Detta stöds även av en studie (Johansson et al, 2026) baserad på data från Riksskogstaxeringen som visar att knäroten minskat med 66 % under perioden 1993–2022 samt att det finns en stark korrelation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Ytterligare en studie (Koelmeijer m.fl., 2022) inkluderar knärotens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Johansson, V., Jansson, M. och Bergman, K-O</w:t>
      </w:r>
      <w:r>
        <w:rPr>
          <w:i/>
        </w:rPr>
        <w:t>.</w:t>
      </w:r>
      <w:r>
        <w:t>, 2026.</w:t>
      </w:r>
      <w:r>
        <w:rPr>
          <w:i/>
        </w:rPr>
        <w:t xml:space="preserve"> A 30-year population decline of a threatened forest orchid associated with old growth forests</w:t>
      </w:r>
      <w:r>
        <w:t>. Department of Physics, Chemistry and Biology (IFM), Linköping University.</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r>
        <w:t xml:space="preserve"> (SLU Artdatabanken, 2024; Skogsstyrelsen, 2016)</w:t>
      </w:r>
      <w:r>
        <w:rPr>
          <w:i/>
        </w:rPr>
        <w: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(SLU Artdatabanken, 2024; Skogsstyrelsen, 2016).</w:t>
      </w:r>
    </w:p>
    <w:p>
      <w:r>
        <w:t xml:space="preserve">Förutom fridlysning enligt §4 Artskyddsförordningen är tretåig hackspett även förtecknad i EU:s fågeldirektiv bilaga 1. Den är typisk art för </w:t>
      </w:r>
      <w:r>
        <w:rPr>
          <w:i/>
        </w:rPr>
        <w:t xml:space="preserve">9010 Taiga, 9740 Skogsbevuxen myr, 9030 Landhöjningsskog </w:t>
      </w:r>
      <w:r>
        <w:t xml:space="preserve">och </w:t>
      </w:r>
      <w:r>
        <w:rPr>
          <w:i/>
        </w:rPr>
        <w:t>9040 Fjällbjörkskog</w:t>
      </w:r>
      <w:r>
        <w:t xml:space="preserve"> samt ingår i Natura 2000 och är förtecknad i Bernkonventionen bilaga II (strikt skyddade djurarter) (SLU Artdatabanken, 2024; Skogsstyrelsen, 2016).</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Vägledning för hänsyn till fåglar – Tretåig hackspett.</w:t>
      </w:r>
    </w:p>
    <w:p>
      <w:r>
        <w:t xml:space="preserve">SLU Artdatabanken, 2024. </w:t>
      </w:r>
      <w:r>
        <w:rPr>
          <w:i/>
        </w:rPr>
        <w:t xml:space="preserve">Artfaktablad. Naturvård – artfakta. </w:t>
      </w:r>
      <w:r>
        <w:t>SLU Artdatabanken, Uppsala.</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p>
      <w:pPr>
        <w:pStyle w:val="Heading1"/>
      </w:pPr>
      <w:r>
        <w:t>Tjäder – ekologi samt krav på livsmiljön</w:t>
      </w:r>
    </w:p>
    <w:p>
      <w:r>
        <w:t xml:space="preserve">Tjäder (§4)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(Skogsstyrelsen, 2019; SLU Artdatabanken 2024).</w:t>
      </w:r>
    </w:p>
    <w:p>
      <w:r>
        <w:t>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w:t>
      </w:r>
    </w:p>
    <w:p>
      <w:pPr>
        <w:pStyle w:val="Heading2"/>
      </w:pPr>
      <w:r>
        <w:t>Referenser – tjäder</w:t>
      </w:r>
    </w:p>
    <w:p>
      <w:r>
        <w:t xml:space="preserve">Skogsstyrelsen, 2019. </w:t>
      </w:r>
      <w:r>
        <w:rPr>
          <w:i/>
        </w:rPr>
        <w:t>Vägledning för hänsyn till fåglar – tjäder.</w:t>
      </w:r>
    </w:p>
    <w:p>
      <w:r>
        <w:t xml:space="preserve">SLU Artdatabanken, 2024. </w:t>
      </w:r>
      <w:r>
        <w:rPr>
          <w:i/>
        </w:rPr>
        <w:t xml:space="preserve">Artfaktablad. Naturvård – artfakta. </w:t>
      </w:r>
      <w:r>
        <w:t>SLU Artdatabanken, Uppsala</w:t>
      </w:r>
    </w:p>
    <w:p>
      <w:r>
        <w:br w:type="page"/>
      </w:r>
    </w:p>
    <w:p>
      <w:pPr>
        <w:pStyle w:val="Title"/>
      </w:pPr>
      <w:r>
        <w:t>BILAGA 2 – EU:s art- och habitatdirektiv, fågeldirektiv och naturrestaureringsförordning</w:t>
      </w:r>
    </w:p>
    <w:p>
      <w:pPr>
        <w:pStyle w:val="Heading2"/>
      </w:pPr>
      <w:r>
        <w:t>Förenlighet med EU-direktiv</w:t>
      </w:r>
    </w:p>
    <w:p>
      <w:r>
        <w:t>EU-direktiv är bindande för EU:s medlemsländer varvid det ankommer på Skogsstyrelsen som nationell tillsynsmyndighet att beakta syftet med EU:s art- och habitatdirektiv respektive fågeldirektiv vid prövningen av en skogsbruksverksamhet, se Rådets direktiv 92/43/EEG samt 2009/147/EG. Nationella regler som omfattas av ett EU-direktiv ska enligt fast rättspraxis tolkas i enlighet med direktivet, vilket medför en skyldighet för myndigheten att tolka bestämmelser i nationell rätt i ljuset av direktivets ordalydelse, sammanhang och de mål som eftersträvas med direktivet (se EU-domstolens dom i mål C 477/19).</w:t>
      </w:r>
    </w:p>
    <w:p>
      <w:r>
        <w:t>EU:s medlemsstater åläggs i Artikel 3 i fågeldirektivet generella skyldigheter avseende skydd, bevarande och återställande av tillräckligt stora och varierande livsmiljöer för de fågelarter som omfattas av direktivet. Medlemsstaterna ska vidta de åtgärder som är nödvändiga för att bibehålla populationen av fågelarterna på en nivå som svarar särskilt mot ekologiska, vetenskapliga och kulturella behov, eller återupprätta populationen av dessa arter till en sådan nivå (se Europaparlamentets och rådets direktiv 2009/147/EG).</w:t>
      </w:r>
    </w:p>
    <w:p>
      <w:r>
        <w:t>Åtgärder som vidtas i enlighet med art- och habitatdirektivet (92/43/EEG)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 Typiska arter används för att lokalisera områden med gynnsam bevarandestatus för de naturtyper som ingår i EU:s art- och habitatdirektiv.</w:t>
      </w:r>
    </w:p>
    <w:p>
      <w:r>
        <w:t>Västlig taiga (EU-kod 9010)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 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pPr>
        <w:pStyle w:val="Caption"/>
      </w:pPr>
      <w:r>
        <w:drawing>
          <wp:inline xmlns:a="http://schemas.openxmlformats.org/drawingml/2006/main" xmlns:pic="http://schemas.openxmlformats.org/drawingml/2006/picture">
            <wp:extent cx="5486400" cy="2905862"/>
            <wp:docPr id="3" name="Picture 3"/>
            <wp:cNvGraphicFramePr>
              <a:graphicFrameLocks noChangeAspect="1"/>
            </wp:cNvGraphicFramePr>
            <a:graphic>
              <a:graphicData uri="http://schemas.openxmlformats.org/drawingml/2006/picture">
                <pic:pic>
                  <pic:nvPicPr>
                    <pic:cNvPr id="0" name="uppföljning av västlig taiga.jpeg"/>
                    <pic:cNvPicPr/>
                  </pic:nvPicPr>
                  <pic:blipFill>
                    <a:blip r:embed="rId18"/>
                    <a:stretch>
                      <a:fillRect/>
                    </a:stretch>
                  </pic:blipFill>
                  <pic:spPr>
                    <a:xfrm>
                      <a:off x="0" y="0"/>
                      <a:ext cx="5486400" cy="2905862"/>
                    </a:xfrm>
                    <a:prstGeom prst="rect"/>
                  </pic:spPr>
                </pic:pic>
              </a:graphicData>
            </a:graphic>
          </wp:inline>
        </w:drawing>
      </w:r>
    </w:p>
    <w:p>
      <w:pPr>
        <w:pStyle w:val="Caption"/>
      </w:pPr>
      <w:r>
        <w:t>EU:s uppföljning av tillståndet för naturtypen Västlig taiga 9010 i Skandinavien 2013 - 2018. Av kartan framgår det att i den boreala regionen är tillståndet så dåligt (röd färg) att habitatet löper allvarlig risk att försvinna regionalt. Källa: European Environment Agency. https:// eunis.eea.europoa.eu/habitats/10176.</w:t>
      </w:r>
    </w:p>
    <w:p>
      <w:r>
        <w:t>Trots det allvarliga läget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 inte har gynnsam bevarandestatus.</w:t>
      </w:r>
    </w:p>
    <w:p>
      <w:pPr>
        <w:pStyle w:val="Heading2"/>
      </w:pPr>
      <w:r>
        <w:t>EU:s naturrestaureringsförordning</w:t>
      </w:r>
    </w:p>
    <w:p>
      <w:r>
        <w:t>Enligt EU:s naturrestaureringsförordning (EU 2024/1991) ska minst 20 % av landområden och minst 20 % av havsarealen vara restaurerad senast 2030, samt alla ekosystem som är i behov av restaurering senast 2050. Det framgår också av förordningen att det är viktigt att livsmiljötyperna inte försämras innan eller efter att restaureringar genomförts, se exempelvis punkt 37 förordningen.</w:t>
      </w:r>
    </w:p>
    <w:p>
      <w:r>
        <w:t>”</w:t>
      </w:r>
      <w:r>
        <w:rPr>
          <w:i/>
        </w:rPr>
        <w:t>Det är viktigt att medlemsstaterna vidtar åtgärder som syftar till att säkerställa att tillståndet för områden som täcks av livsmiljötyper som omfattas av denna förordning och som omfattas av restaureringsåtgärder uppvisar en kontinuerlig förbättring till dess att de uppnår ett gott tillstånd, och att medlemsstaterna vidtar åtgärder som syftar till att säkerställa att dessa livsmiljötyper, när de har uppnått ett gott tillstånd, inte försämras avsevärt, så att det långsiktiga bibehållandet eller uppnåendet av gott tillstånd inte äventyras. (..) Det är också viktigt att medlemsstaterna anstränger sig för att förhindra avsevärd försämring av områden som täcks av sådana livsmiljötyper som antingen redan är i gott skick eller som inte är i gott skick men ännu inte omfattas av restaureringsåtgärder.”</w:t>
      </w:r>
    </w:p>
    <w:p>
      <w:r>
        <w:rPr>
          <w:b/>
          <w:i/>
        </w:rPr>
        <w:t>Artikel 4(12):</w:t>
      </w:r>
    </w:p>
    <w:p>
      <w:r>
        <w:rPr>
          <w:i/>
        </w:rPr>
        <w:t>Utan att det påverkar tillämpningen av direktiv 92/43/EEG ska medlemsstaterna, senast den dag då deras nationella restaureringsplaner offentliggörs i enlighet med artikel 17.6 i denna förordning, eftersträva att genomföra de åtgärder som krävs för att förhindra avsevärd försämring av områden där de livsmiljötyper som förtecknas i bilaga I till denna förordning förekommer och som är i gott tillstånd eller som krävs för att uppnå de restaureringsmål som anges i punkt 17 i den här artikeln.</w:t>
      </w:r>
    </w:p>
    <w:p>
      <w:r>
        <w:rPr>
          <w:b/>
          <w:i/>
        </w:rPr>
        <w:t>Artikel 4 (17).   Medlemsstaterna ska säkerställa</w:t>
      </w:r>
    </w:p>
    <w:p>
      <w:r>
        <w:rPr>
          <w:i/>
        </w:rPr>
        <w:t>a) en ökning av arealen i gott tillstånd för de livsmiljötyper som förtecknas i bilaga I till dess att minst 90 % är i gott tillstånd och till dess att den gynnsamma referensarealen för varje livsmiljötyp i varje biogeografisk region inom den berörda medlemsstaten har uppnåtts.</w:t>
      </w:r>
    </w:p>
    <w:p>
      <w:r>
        <w:t>Referenser</w:t>
      </w:r>
    </w:p>
    <w:p>
      <w:r>
        <w:t xml:space="preserve">EEA European Environment Agency, 2022. </w:t>
      </w:r>
      <w:r>
        <w:rPr>
          <w:i/>
        </w:rPr>
        <w:t xml:space="preserve">Western taiga – Conservation status 2013-2018. </w:t>
      </w:r>
      <w:r>
        <w:t>https:// eunis.eea.europoa.eu/habitats/10176.</w:t>
      </w:r>
    </w:p>
    <w:p>
      <w:r>
        <w:t>EU-domstolens dom av den 2 juli 2020 i målet C 477/19 (Europeisk hamster) p. 23.</w:t>
      </w:r>
    </w:p>
    <w:p>
      <w:r>
        <w:t>EU-domstolens dom av den 4 mars 2021 i de förenade målen C 473-19 och C 474-19 (Skydda skogen) p. 70 och 76.</w:t>
      </w:r>
    </w:p>
    <w:p>
      <w:r>
        <w:t>Europaparlamentets och rådets direktiv 2009/147/EG av den 30 november 2009 om bevarande av vilda fåglar.</w:t>
      </w:r>
    </w:p>
    <w:p>
      <w:r>
        <w:t>EUROPAPARLAMENTETS OCH RÅDETS FÖRORDNING (EU) 2024/1991 av den 24 juni 2024 om restaurering av natur och om ändring av förordning (EU) 2022/869.</w:t>
      </w:r>
    </w:p>
    <w:p>
      <w:r>
        <w:t>Rådets direktiv 92/43/EEG av den 21 mj 1992 om bevarande av livsmiljöer samt vilda djur och växter.</w:t>
      </w:r>
    </w:p>
    <w:p>
      <w:r>
        <w:t xml:space="preserve">Skogsstyrelsen, 2026. </w:t>
      </w:r>
      <w:r>
        <w:rPr>
          <w:i/>
        </w:rPr>
        <w:t>Biologisk mångfald i skogen.</w:t>
      </w:r>
      <w:r>
        <w:t xml:space="preserve"> Rapport 2026/07.</w:t>
      </w:r>
    </w:p>
    <w:p>
      <w:r>
        <w:t xml:space="preserve">SLU Artdatabanken, 2019. </w:t>
      </w:r>
      <w:r>
        <w:rPr>
          <w:i/>
        </w:rPr>
        <w:t>Sveriges arter och naturtyper i EU:s art- och habitatdirektiv.</w:t>
      </w:r>
      <w:r>
        <w:t xml:space="preserve"> Resultat från rapportering 2019 till EU av bevarandestatus 2013-2018.</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2026-10-20</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 Id="rId18" Type="http://schemas.openxmlformats.org/officeDocument/2006/relationships/image" Target="media/image3.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