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53625-2025 i Bergs kommun</w:t>
      </w:r>
    </w:p>
    <w:p>
      <w:r>
        <w:t>Denna tillsynsbegäran behandlar höga naturvärden i avverkningsanmälan A 53625-2025 i Bergs kommun som inkom 2025-10-30 och omfattar 1,2 ha.</w:t>
      </w:r>
    </w:p>
    <w:p>
      <w:pPr>
        <w:pStyle w:val="Caption"/>
      </w:pPr>
      <w:r>
        <w:drawing>
          <wp:inline xmlns:a="http://schemas.openxmlformats.org/drawingml/2006/main" xmlns:pic="http://schemas.openxmlformats.org/drawingml/2006/picture">
            <wp:extent cx="5486400" cy="5140188"/>
            <wp:docPr id="1" name="Picture 1"/>
            <wp:cNvGraphicFramePr>
              <a:graphicFrameLocks noChangeAspect="1"/>
            </wp:cNvGraphicFramePr>
            <a:graphic>
              <a:graphicData uri="http://schemas.openxmlformats.org/drawingml/2006/picture">
                <pic:pic>
                  <pic:nvPicPr>
                    <pic:cNvPr id="0" name="A 53625-2025 karta.png"/>
                    <pic:cNvPicPr/>
                  </pic:nvPicPr>
                  <pic:blipFill>
                    <a:blip r:embed="rId16"/>
                    <a:stretch>
                      <a:fillRect/>
                    </a:stretch>
                  </pic:blipFill>
                  <pic:spPr>
                    <a:xfrm>
                      <a:off x="0" y="0"/>
                      <a:ext cx="5486400" cy="5140188"/>
                    </a:xfrm>
                    <a:prstGeom prst="rect"/>
                  </pic:spPr>
                </pic:pic>
              </a:graphicData>
            </a:graphic>
          </wp:inline>
        </w:drawing>
      </w:r>
    </w:p>
    <w:p>
      <w:pPr>
        <w:pStyle w:val="Caption"/>
        <w:spacing w:after="240"/>
      </w:pPr>
      <w:r>
        <w:t>Figur 1. Fyndplatser för naturvårdsarter inom 12 meter från avverkningsanmälan. Markörer utan svart kant är placerade på fyndplatsen. Markörer med svart kant är placerade vid sidan av fyndplatsen och har ett svart streck som visar fyndplatsens exakta position. Kartans mittpunktskoordinat är N 6919372, E 480507 i SWEREF 99 TM.</w:t>
      </w:r>
    </w:p>
    <w:p>
      <w:r>
        <w:t>Inom 12 meter från avverkningsanmälan finns fynd av 2 naturvårdsarter, varav 2 är rödlistade och 2 är typiska (T): dropptaggsvamp (NT, T) och kolflarnlav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