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42503-2023 i Bergs kommun</w:t>
      </w:r>
    </w:p>
    <w:p>
      <w:r>
        <w:t>Detta dokument behandlar höga naturvärden i avverkningsanmälan A 42503-2023 i Bergs kommun. Denna avverkningsanmälan inkom 2023-09-11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fläckporing (VU), gräddporing (VU), blanksvart spiklav (NT), blå taggsvamp (NT), blågrå svartspik (NT), dvärgbägarlav (NT), gränsticka (NT), gäckporing (NT), kolflarnlav (NT), nordtagging (NT) och stuplav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42503-2023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6962374, E 427185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Gäckporing (NT)</w:t>
      </w:r>
      <w:r>
        <w:t xml:space="preserve"> är en brunrötande vedsvamp som i Sverige mest tycks förekomma i talldominerad skog med mycket ved i olika nedbrytningsstadier, helst senvuxen tallved. Arten hotas främst av slutavverkning och av den minskande tillgången på död ved i de brukade skogarna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