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klagomål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och inom 17 meter från avverkningsanmälan finns fynd av 13 naturvårdsarter, varav 12 är rödlistade, 2 är fridlysta, 9 är typiska (T) och 1 är signalart (S): garnlav (VU, T), blanksvart spiklav (NT), blågrå svartspik (NT), dvärgbägarlav (NT, T), lavskrika (NT, T, §4), rosenticka (NT, T), talltagel (NT, T), tretåig hackspett (NT, T, §4), ullticka (NT, T), vedflamlav (NT), vedskivlav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