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40860-2025 i Bergs kommun</w:t>
      </w:r>
    </w:p>
    <w:p>
      <w:r>
        <w:t>Denna tillsynsbegäran behandlar höga naturvärden i avverkningsanmälan A 40860-2025 i Bergs kommun som inkom 2025-08-28 och omfattar 1,6 ha.</w:t>
      </w:r>
    </w:p>
    <w:p>
      <w:pPr>
        <w:pStyle w:val="Caption"/>
      </w:pPr>
      <w:r>
        <w:drawing>
          <wp:inline xmlns:a="http://schemas.openxmlformats.org/drawingml/2006/main" xmlns:pic="http://schemas.openxmlformats.org/drawingml/2006/picture">
            <wp:extent cx="5486400" cy="5616490"/>
            <wp:docPr id="1" name="Picture 1"/>
            <wp:cNvGraphicFramePr>
              <a:graphicFrameLocks noChangeAspect="1"/>
            </wp:cNvGraphicFramePr>
            <a:graphic>
              <a:graphicData uri="http://schemas.openxmlformats.org/drawingml/2006/picture">
                <pic:pic>
                  <pic:nvPicPr>
                    <pic:cNvPr id="0" name="A 40860-2025 karta.png"/>
                    <pic:cNvPicPr/>
                  </pic:nvPicPr>
                  <pic:blipFill>
                    <a:blip r:embed="rId16"/>
                    <a:stretch>
                      <a:fillRect/>
                    </a:stretch>
                  </pic:blipFill>
                  <pic:spPr>
                    <a:xfrm>
                      <a:off x="0" y="0"/>
                      <a:ext cx="5486400" cy="5616490"/>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6950941, E 492345 i SWEREF 99 TM.</w:t>
      </w:r>
    </w:p>
    <w:p>
      <w:r>
        <w:t>I och inom 17 meter från avverkningsanmälan finns fynd av 9 naturvårdsarter, varav 5 är rödlistade, 2 är fridlysta, 8 är typiska (T) och 2 är signalarter (S): garnlav (VU, T), flattoppad klubbsvamp (NT), lavskrika (NT, T, §4), lunglav (NT, T), skrovellav (NT, T), luddlav (S, T), stuplav (S, T), bergfink (T, §4) och ormbär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Flattoppad klubbsvamp (NT) </w:t>
      </w:r>
      <w:r>
        <w:t>bildar mykorrhiza med gran och växer i äldre barrskog på näringsrik, kalkpåverkad mark. Växtmiljön utgörs vanligen av örtrika granskogar med höga naturvärden, gärna påverkade av ytligt och rörligt markvatten. Svampen kräver välutvecklade gamla mossmattor med konstant fuktigt mikroklimat och hotas främst av slutavverkning av äldre ängsgranskogar på näringsrik mark. Artens lokaler bör undantas från skogsbruk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Bergfink (§4)</w:t>
      </w:r>
      <w:r>
        <w:t xml:space="preserve"> häckar i barr- och blandskog samt i fjällbjörkskog. Den förekommer i Norrland, västra Dalarna och norra Värmland samt sparsamt till sällsynt vidare söderut till mellersta Värmland, norra Västmanland och södra Gästrikland. Bergfink är typisk art för </w:t>
      </w:r>
      <w:r>
        <w:rPr>
          <w:i/>
        </w:rPr>
        <w:t>9040 Fjällbjörkskog</w:t>
      </w:r>
      <w:r>
        <w:t xml:space="preserve"> (SLU Artdatabanken, 2025).</w:t>
      </w:r>
    </w:p>
    <w:p>
      <w:r>
        <w:rPr>
          <w:b/>
        </w:rPr>
        <w:t>Ormbär</w:t>
      </w:r>
      <w:r>
        <w:t xml:space="preserve"> är typisk art för </w:t>
      </w:r>
      <w:r>
        <w:rPr>
          <w:i/>
        </w:rPr>
        <w:t xml:space="preserve">9050 Näringsrik granskog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lavskrika (NT, T, §4), lunglav (NT, T), skrovellav (NT, T), luddlav (S, T), stuplav (S, T), bergfink (T, §4) och ormbär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