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49797-2025 i Bergs kommun</w:t>
      </w:r>
    </w:p>
    <w:p>
      <w:r>
        <w:t>Detta klagomål behandlar höga naturvärden i avverkningsanmälan A 49797-2025 i Bergs kommun som inkom 2025-10-10 och omfattar 16,1 ha.</w:t>
      </w:r>
    </w:p>
    <w:p>
      <w:pPr>
        <w:pStyle w:val="Caption"/>
      </w:pPr>
      <w:r>
        <w:drawing>
          <wp:inline xmlns:a="http://schemas.openxmlformats.org/drawingml/2006/main" xmlns:pic="http://schemas.openxmlformats.org/drawingml/2006/picture">
            <wp:extent cx="5486400" cy="4374037"/>
            <wp:docPr id="1" name="Picture 1"/>
            <wp:cNvGraphicFramePr>
              <a:graphicFrameLocks noChangeAspect="1"/>
            </wp:cNvGraphicFramePr>
            <a:graphic>
              <a:graphicData uri="http://schemas.openxmlformats.org/drawingml/2006/picture">
                <pic:pic>
                  <pic:nvPicPr>
                    <pic:cNvPr id="0" name="A 49797-2025 karta.png"/>
                    <pic:cNvPicPr/>
                  </pic:nvPicPr>
                  <pic:blipFill>
                    <a:blip r:embed="rId16"/>
                    <a:stretch>
                      <a:fillRect/>
                    </a:stretch>
                  </pic:blipFill>
                  <pic:spPr>
                    <a:xfrm>
                      <a:off x="0" y="0"/>
                      <a:ext cx="5486400" cy="4374037"/>
                    </a:xfrm>
                    <a:prstGeom prst="rect"/>
                  </pic:spPr>
                </pic:pic>
              </a:graphicData>
            </a:graphic>
          </wp:inline>
        </w:drawing>
      </w:r>
    </w:p>
    <w:p>
      <w:pPr>
        <w:pStyle w:val="Caption"/>
        <w:spacing w:after="240"/>
      </w:pPr>
      <w:r>
        <w:t>Figur 1. Fyndplatser för naturvårdsarter i och inom 12 meter från avverkningsanmälan. Markörer utan svart kant är placerade på fyndplatsen. Markörer med svart kant är placerade vid sidan av fyndplatsen och har ett svart streck som visar fyndplatsens exakta position. Kartans mittpunktskoordinat är N 6957833, E 424743 i SWEREF 99 TM.</w:t>
      </w:r>
    </w:p>
    <w:p>
      <w:r>
        <w:t>I och inom 12 meter från avverkningsanmälan finns fynd av 9 naturvårdsarter, varav 6 är rödlistade, 4 är fridlysta, 8 är typiska (T) och 2 är signalarter (S): garnlav (VU, T), lavskrika (NT, T, §4), reliktbock (NT, T), tallticka (NT, T), talltita (NT, §4), tretåig hackspett (NT, T, §4), luddlav (S, T), skinnlav (S, T) och spillkråka (T, §4).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Lavskrika (NT, §4)</w:t>
      </w:r>
      <w:r>
        <w:t xml:space="preserve"> är rödlistad som nära hotad och fridlyst enligt 4§ artskyddsförordningen. Den har minskat med 20 (10–30) % under de senaste 15 åren och minskningstakten bedöms vara nära gränsvärdet för sårbar (VU). Lavskrikan är en mycket stationär fågel, som häckar i äldre, slutna och hänglavsrika barrskogar. Nyckelfaktorer är flerskiktad skog med rik undervegetation samt riklig förekomst av hänglavar. Reviren är livslånga med hemområden som varierar mellan 50 och 150 ha. Inom ett revir av hög kvalitet finns det som regel ett eller flera kärnområden (1–20 ha) med relativt tät flerskiktad granskog. Arten missgynnas när flerskiktad skog omförs till enskiktade bestånd och även röjning och hård gallring är starkt negativt. Lavskrikan har relativt stora hemområden och försvinner när den äldre skogen fragmenteras, särskilt allvarligt är när kärnområdena avverkas. Den försvinner successivt framför allt vid dess utbredningsgränser och populationen har minskat kontinuerligt under 2000-talet. Lavskrika är typisk art för </w:t>
      </w:r>
      <w:r>
        <w:rPr>
          <w:i/>
        </w:rPr>
        <w:t>9010 Taiga</w:t>
      </w:r>
      <w:r>
        <w:t xml:space="preserve"> (SLU Artdatabanken, 2026; Skogsstyrelsen 2016).</w:t>
      </w:r>
    </w:p>
    <w:p>
      <w:r>
        <w:rPr>
          <w:b/>
        </w:rPr>
        <w:t>Reliktbock (NT)</w:t>
      </w:r>
      <w:r>
        <w:t xml:space="preserve"> är en skalbagge vars larvutveckling sker i tjock, solexponerad skorpbark på gamla, levande tallar. Ofta i träd som under längre tid stått fritt och öppet, t.ex. i kantzoner i odlingslandskap, längs stränder och åsar, men också i gles, gammal tallskog på mager mark. Arten är brandgynnad genom att omgivande småträd och buskar försvinner vid lågintensiva bränder samtidigt som gamla tallar överlever och förblir solexponerade. Minskningstakten för den svenska populationen bedöms vara nära gränsvärdet för Sårbar (VU) och i den europeiska rödlistan är reliktbock rödlistad som Sårbar (VU) vilket innebär att Sverige har ett internationellt ansvar för arten. Gamla tallskogar bör få ett långsiktigt skydd, och inte slutavverkas. Reliktbock är typisk art för </w:t>
      </w:r>
      <w:r>
        <w:rPr>
          <w:i/>
        </w:rPr>
        <w:t>9010 Taiga</w:t>
      </w:r>
      <w:r>
        <w:t xml:space="preserve"> och</w:t>
      </w:r>
      <w:r>
        <w:rPr>
          <w:i/>
        </w:rPr>
        <w:t xml:space="preserve"> 9060 Åsbarrskog</w:t>
      </w:r>
      <w:r>
        <w:t xml:space="preserve"> (SLU Artdatabanken, 2024; IUCN, 2016).</w:t>
      </w:r>
    </w:p>
    <w:p>
      <w:r>
        <w:rPr>
          <w:b/>
        </w:rPr>
        <w:t xml:space="preserve">Tallticka (NT) </w:t>
      </w:r>
      <w:r>
        <w:t xml:space="preserve">uppträder först på tallar som är 100–150 år gamla men är vanligast på träd som är runt 150–200 år eller äldre. I skogslandskapet är den främst knuten till tallnaturskogar och restbiotoper med biologiskt gamla träd och signalerar vanligtvis skyddsvärda tallbestånd med höga naturvärden. Tallticka är typisk art för </w:t>
      </w:r>
      <w:r>
        <w:rPr>
          <w:i/>
        </w:rPr>
        <w:t xml:space="preserve">9010 Taiga </w:t>
      </w:r>
      <w:r>
        <w:t xml:space="preserve">och </w:t>
      </w:r>
      <w:r>
        <w:rPr>
          <w:i/>
        </w:rPr>
        <w:t>9060 Åsbarrskog</w:t>
      </w:r>
      <w:r>
        <w:t xml:space="preserve"> (SLU Artdatabanken, 2023; Nitare &amp; Skogsstyrelsen, 2019).</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Tretåig hackspett är typisk art för </w:t>
      </w:r>
      <w:r>
        <w:rPr>
          <w:i/>
        </w:rPr>
        <w:t xml:space="preserve">9010 Taiga, 9740 Skogsbevuxen myr, 9030 Landhöjningsskog </w:t>
      </w:r>
      <w:r>
        <w:t xml:space="preserve">och </w:t>
      </w:r>
      <w:r>
        <w:rPr>
          <w:i/>
        </w:rPr>
        <w:t>9040 Fjällbjörkskog</w:t>
      </w:r>
      <w:r>
        <w:t xml:space="preserve"> (Skogsstyrelsen, 2016; SLU Artdatabanken, 2024).</w:t>
      </w:r>
    </w:p>
    <w:p>
      <w:r>
        <w:rPr>
          <w:b/>
        </w:rPr>
        <w:t>Luddlav</w:t>
      </w:r>
      <w:r>
        <w:t xml:space="preserve"> signalerar lång skoglig kontinuitet med ett stabilt lokal- och mikroklimat med hög och jämn fuktighet. Luddlav är typisk art för </w:t>
      </w:r>
      <w:r>
        <w:rPr>
          <w:i/>
        </w:rPr>
        <w:t>9010 Taiga,</w:t>
      </w:r>
      <w:r>
        <w:t xml:space="preserve"> </w:t>
      </w:r>
      <w:r>
        <w:rPr>
          <w:i/>
        </w:rPr>
        <w:t xml:space="preserve">9020 Nordlig ädellövskog, 9070 Trädklädd betesmark, 9110 Näringsfattig bokskog, 9180 Ädellövskog i branter </w:t>
      </w:r>
      <w:r>
        <w:t>och</w:t>
      </w:r>
      <w:r>
        <w:rPr>
          <w:i/>
        </w:rPr>
        <w:t xml:space="preserve"> 9190 Näringsfattig ekskog </w:t>
      </w:r>
      <w:r>
        <w:t>(Nitare &amp; Skogsstyrelsen, 2019; SLU Artdatabanken, 2025).</w:t>
      </w:r>
    </w:p>
    <w:p>
      <w:r>
        <w:rPr>
          <w:b/>
        </w:rPr>
        <w:t xml:space="preserve">Skinnlav </w:t>
      </w:r>
      <w:r>
        <w:t xml:space="preserve">förekommer på diverse lövträd, främst på gammal asp och sälg. Den påträffas främst i områden med lång kontinuitet av grova lövträd och signalerar skogsmark med höga naturvärden. På lokalerna förekommer som regel ett flertal andra ovanliga eller rödlistade lavar. I likhet med gelélavarna, etablerar sig skinnlaven i skogsmark på grova aspar i sena lövsuccessioner. Skinnlav är typisk art för </w:t>
      </w:r>
      <w:r>
        <w:rPr>
          <w:i/>
        </w:rPr>
        <w:t xml:space="preserve">9010 Taiga, 9020 Nordlig ädellövskog </w:t>
      </w:r>
      <w:r>
        <w:t xml:space="preserve">och </w:t>
      </w:r>
      <w:r>
        <w:rPr>
          <w:i/>
        </w:rPr>
        <w:t xml:space="preserve">9070 Trädklädd betesmark </w:t>
      </w:r>
      <w:r>
        <w:t>(Nitare &amp; Skogsstyrelsen, 2019; SLU Artdatabanken, 2025).</w:t>
      </w:r>
    </w:p>
    <w:p>
      <w:r>
        <w:rPr>
          <w:b/>
        </w:rPr>
        <w:t>Spillkråka (§4)</w:t>
      </w:r>
      <w:r>
        <w:t xml:space="preserve"> omfattas av bilaga 1 i EU:s fågeldirektiv och är typisk art för </w:t>
      </w:r>
      <w:r>
        <w:rPr>
          <w:i/>
        </w:rPr>
        <w:t xml:space="preserve">9010 Taiga </w:t>
      </w:r>
      <w:r>
        <w:t>och</w:t>
      </w:r>
      <w:r>
        <w:rPr>
          <w:i/>
        </w:rPr>
        <w:t xml:space="preserve"> 9740 Skogsbevuxen myr</w:t>
      </w:r>
      <w:r>
        <w:t>. Den behöver grova träd, främst tall, asp och bok som boträd. Skogsbruk med korta omloppstider och täta, homogena ungskogar utgör det största hotet. 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(SLU Artdatabanken, 2026; Skogsstyrelsen, 2016).</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9 naturvårdsarter varav 6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Lavskrika – ekologi samt krav på livsmiljön</w:t>
      </w:r>
    </w:p>
    <w:p>
      <w:r>
        <w:t>Lavskrika är rödlistad som nära hotad (NT), fridlyst enligt 4 § artskyddsförordningen (2007:845) och ingår i förteckningen över prioriterade arter i Skogsstyrelsens föreskrifter och allmänna råd (SKSFS 2011:7) bilaga 4. Lavskrikan är en mycket stationär fågel, som häckar i äldre, slutna och hänglavsrika barrskogar. Nyckelfaktorer är flerskiktad skog med rik undervegetation samt riklig förekomst av hänglavar (SLU Artdatabanken, 2026).</w:t>
      </w:r>
    </w:p>
    <w:p>
      <w:r>
        <w:t xml:space="preserve">I Skogsstyrelsens vägledning för hänsyn till fåglar står bland annat att: </w:t>
      </w:r>
      <w:r>
        <w:rPr>
          <w:i/>
        </w:rPr>
        <w:t>“Reviren är livslånga med hemområden som varierar mellan 50 och 150 ha. Hemområdena har inga fasta gränser utan det handlar mera om de yttre gränserna för familjegruppernas rörelser. Lavskrikan undviker att förflytta sig över stora öppna områden och hemområdesstorleken är därför större i områden fragmenterade av hyggen och yngre skog än i områden med i sammanhängande äldre skog. Det finns studier som antyder att det inom ett revir bör finnas maximalt 15 % öppna ytor och ungskog. Inom ett revir av hög kvalitet finns det som regel ett eller flera kärnområden (1–20 ha) med relativt tät flerskiktad granskog.”</w:t>
      </w:r>
      <w:r>
        <w:t xml:space="preserve"> Vidare att: </w:t>
      </w:r>
      <w:r>
        <w:rPr>
          <w:i/>
        </w:rPr>
        <w:t>“Arten missgynnas när flerskiktad skog omförs till enskiktade bestånd. Även skogsskötsel med återkommande röjning och hård gallring är starkt negativt. Lavskrikan har relativt stora hemområden och försvinner när den äldre skogen fragmenteras, särskilt allvarligt är när kärnområdena avverkas.”</w:t>
      </w:r>
      <w:r>
        <w:t xml:space="preserve"> (Skogsstyrelsen 2016).</w:t>
      </w:r>
    </w:p>
    <w:p>
      <w:r>
        <w:t xml:space="preserve">Populationen har minskat med 20 (10–30) % under de senaste 15 åren och minskningstakten bedöms vara nära gränsvärdet för sårbar (VU). Arten försvinner successivt framför allt vid dess utbredningsgränser och populationen har minskat kontinuerligt under 2000-talet. Lavskrika är typisk art för </w:t>
      </w:r>
      <w:r>
        <w:rPr>
          <w:i/>
        </w:rPr>
        <w:t>9010 Taiga</w:t>
      </w:r>
      <w:r>
        <w:t xml:space="preserve"> (SLU Artdatabanken, 2026).</w:t>
      </w:r>
    </w:p>
    <w:p>
      <w:pPr>
        <w:pStyle w:val="Heading2"/>
      </w:pPr>
      <w:r>
        <w:t>Referenser – lavskrika</w:t>
      </w:r>
    </w:p>
    <w:p>
      <w:r>
        <w:t xml:space="preserve">Skogsstyrelsen, 2016. </w:t>
      </w:r>
      <w:r>
        <w:rPr>
          <w:i/>
        </w:rPr>
        <w:t xml:space="preserve">Vägledning för hänsyn till fåglar – lavskrika. </w:t>
      </w:r>
      <w:r>
        <w:t>https://www.skogsstyrelsen.se/globalassets/lag-och-tillsyn/artskydd/vagledningar-for-hansyn-till-faglar/lavskrika-vagledning-hansyn.pdf</w:t>
      </w:r>
    </w:p>
    <w:p>
      <w:r>
        <w:t xml:space="preserve">SLU Artdatabanken, 2026. </w:t>
      </w:r>
      <w:r>
        <w:rPr>
          <w:i/>
        </w:rPr>
        <w:t xml:space="preserve">Artfaktablad. Naturvård – artfakta. </w:t>
      </w:r>
      <w:r>
        <w:t>SLU Artdatabanken, Uppsala</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r>
        <w:t xml:space="preserve"> (SLU Artdatabanken, 2024; Skogsstyrelsen, 2016)</w:t>
      </w:r>
      <w:r>
        <w:rPr>
          <w:i/>
        </w:rPr>
        <w: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(SLU Artdatabanken, 2024; Skogsstyrelsen, 2016).</w:t>
      </w:r>
    </w:p>
    <w:p>
      <w:r>
        <w:t xml:space="preserve">Förutom fridlysning enligt §4 Artskyddsförordningen är tretåig hackspett även förtecknad i EU:s fågeldirektiv bilaga 1. Den är typisk art för </w:t>
      </w:r>
      <w:r>
        <w:rPr>
          <w:i/>
        </w:rPr>
        <w:t xml:space="preserve">9010 Taiga, 9740 Skogsbevuxen myr, 9030 Landhöjningsskog </w:t>
      </w:r>
      <w:r>
        <w:t xml:space="preserve">och </w:t>
      </w:r>
      <w:r>
        <w:rPr>
          <w:i/>
        </w:rPr>
        <w:t>9040 Fjällbjörkskog</w:t>
      </w:r>
      <w:r>
        <w:t xml:space="preserve"> samt ingår i Natura 2000 och är förtecknad i Bernkonventionen bilaga II (strikt skyddade djurarter) (SLU Artdatabanken, 2024; Skogsstyrelsen, 2016).</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Vägledning för hänsyn till fåglar – Tretåig hackspett.</w:t>
      </w:r>
    </w:p>
    <w:p>
      <w:r>
        <w:t xml:space="preserve">SLU Artdatabanken, 2024. </w:t>
      </w:r>
      <w:r>
        <w:rPr>
          <w:i/>
        </w:rPr>
        <w:t xml:space="preserve">Artfaktablad. Naturvård – artfakta. </w:t>
      </w:r>
      <w:r>
        <w:t>SLU Artdatabanken, Uppsala.</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p>
      <w:pPr>
        <w:pStyle w:val="Heading1"/>
      </w:pPr>
      <w:r>
        <w:t>Spillkråka – ekologi samt krav på livsmiljön</w:t>
      </w:r>
    </w:p>
    <w:p>
      <w:r>
        <w:t xml:space="preserve">Spillkråka (§4) ingår i bilaga 1 EU:s fågeldirektiv och är typisk art för </w:t>
      </w:r>
      <w:r>
        <w:rPr>
          <w:i/>
        </w:rPr>
        <w:t xml:space="preserve">9010 Taiga </w:t>
      </w:r>
      <w:r>
        <w:t>och</w:t>
      </w:r>
      <w:r>
        <w:rPr>
          <w:i/>
        </w:rPr>
        <w:t xml:space="preserve"> 9740 Skogsbevuxen myr</w:t>
      </w:r>
      <w:r>
        <w:t>. Den lever i både barr- och blandskog liksom i ren lövskog. De tätaste populationerna tenderar att finnas i äldre, variationsrik blandskog med gott om död ved och gamla träd. Varje par utnyttjar 400–1000 hektar skog beroende på skogens kvalitet. Skogsbruk med korta omloppstider och täta, homogena ungskogar utgör det största hotet (SLU Artdatabanken, 2026).</w:t>
      </w:r>
    </w:p>
    <w:p>
      <w:r>
        <w:t>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(Skogsstyrelsen, 2016).</w:t>
      </w:r>
    </w:p>
    <w:p>
      <w:pPr>
        <w:pStyle w:val="Heading2"/>
      </w:pPr>
      <w:r>
        <w:t>Referenser – spillkråka</w:t>
      </w:r>
    </w:p>
    <w:p>
      <w:r>
        <w:t xml:space="preserve">Skogsstyrelsen, 2016. </w:t>
      </w:r>
      <w:r>
        <w:rPr>
          <w:i/>
        </w:rPr>
        <w:t xml:space="preserve">Vägledning för hänsyn till spillkråka. </w:t>
      </w:r>
      <w:r>
        <w:t>Vägledningar och kunskapsstöd artskydd – Skogsstyrelsen.</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2026-08-18</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