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33056-2024 i Bergs kommun</w:t>
      </w:r>
    </w:p>
    <w:p>
      <w:r>
        <w:t>Detta klagomål behandlar höga naturvärden i avverkningsanmälan A 33056-2024 i Bergs kommun som inkom 2024-08-13 och omfattar 15,1 ha.</w:t>
      </w:r>
    </w:p>
    <w:p>
      <w:pPr>
        <w:pStyle w:val="Caption"/>
      </w:pPr>
      <w:r>
        <w:drawing>
          <wp:inline xmlns:a="http://schemas.openxmlformats.org/drawingml/2006/main" xmlns:pic="http://schemas.openxmlformats.org/drawingml/2006/picture">
            <wp:extent cx="4930977" cy="5724000"/>
            <wp:docPr id="1" name="Picture 1"/>
            <wp:cNvGraphicFramePr>
              <a:graphicFrameLocks noChangeAspect="1"/>
            </wp:cNvGraphicFramePr>
            <a:graphic>
              <a:graphicData uri="http://schemas.openxmlformats.org/drawingml/2006/picture">
                <pic:pic>
                  <pic:nvPicPr>
                    <pic:cNvPr id="0" name="A 33056-2024 karta.png"/>
                    <pic:cNvPicPr/>
                  </pic:nvPicPr>
                  <pic:blipFill>
                    <a:blip r:embed="rId16"/>
                    <a:stretch>
                      <a:fillRect/>
                    </a:stretch>
                  </pic:blipFill>
                  <pic:spPr>
                    <a:xfrm>
                      <a:off x="0" y="0"/>
                      <a:ext cx="49309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6943596, E 490708 i SWEREF 99 TM.</w:t>
      </w:r>
    </w:p>
    <w:p>
      <w:r>
        <w:t>I avverkningsanmälan finns fynd av 24 naturvårdsarter, varav 16 är rödlistade, 11 är fridlysta, 14 är typiska (T) och 3 är signalarter (S): doftticka (VU, T, §8), garnlav (VU, T), gränsticka (VU, T), knärot (VU, T, §8), björktrast (NT, §4), gammelgransskål (NT, T), harticka (NT, T), lunglav (NT, T), mörk kolflarnlav (NT), rödvingetrast (NT, §4), skrovellav (NT, T), talltita (NT, §4), tretåig hackspett (NT, T, §4), vedflamlav (NT), vedtrappmossa (NT, T), vitgrynig nållav (NT), luddlav (S, T), norrlandslav (S, T), stuplav (S, T), tjäder (T, §4), grönsiska (§4), kungsfågel (§4), smålom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5.11 ha med buffertzonerna och får av detta skäl inte avverkas.</w:t>
      </w:r>
    </w:p>
    <w:p>
      <w:pPr>
        <w:pStyle w:val="Caption"/>
      </w:pPr>
      <w:r>
        <w:drawing>
          <wp:inline xmlns:a="http://schemas.openxmlformats.org/drawingml/2006/main" xmlns:pic="http://schemas.openxmlformats.org/drawingml/2006/picture">
            <wp:extent cx="5486400" cy="5876670"/>
            <wp:docPr id="2" name="Picture 2"/>
            <wp:cNvGraphicFramePr>
              <a:graphicFrameLocks noChangeAspect="1"/>
            </wp:cNvGraphicFramePr>
            <a:graphic>
              <a:graphicData uri="http://schemas.openxmlformats.org/drawingml/2006/picture">
                <pic:pic>
                  <pic:nvPicPr>
                    <pic:cNvPr id="0" name="A 33056-2024 karta knärot.png"/>
                    <pic:cNvPicPr/>
                  </pic:nvPicPr>
                  <pic:blipFill>
                    <a:blip r:embed="rId17"/>
                    <a:stretch>
                      <a:fillRect/>
                    </a:stretch>
                  </pic:blipFill>
                  <pic:spPr>
                    <a:xfrm>
                      <a:off x="0" y="0"/>
                      <a:ext cx="5486400" cy="58766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6943596, E 490708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