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21632-2025 i Bergs kommun</w:t>
      </w:r>
    </w:p>
    <w:p>
      <w:r>
        <w:t>Denna tillsynsbegäran behandlar höga naturvärden i avverkningsanmälan A 21632-2025 i Bergs kommun som inkom 2025-05-06 och omfattar 2,9 ha.</w:t>
      </w:r>
    </w:p>
    <w:p>
      <w:pPr>
        <w:pStyle w:val="Caption"/>
      </w:pPr>
      <w:r>
        <w:drawing>
          <wp:inline xmlns:a="http://schemas.openxmlformats.org/drawingml/2006/main" xmlns:pic="http://schemas.openxmlformats.org/drawingml/2006/picture">
            <wp:extent cx="5486400" cy="5337821"/>
            <wp:docPr id="1" name="Picture 1"/>
            <wp:cNvGraphicFramePr>
              <a:graphicFrameLocks noChangeAspect="1"/>
            </wp:cNvGraphicFramePr>
            <a:graphic>
              <a:graphicData uri="http://schemas.openxmlformats.org/drawingml/2006/picture">
                <pic:pic>
                  <pic:nvPicPr>
                    <pic:cNvPr id="0" name="A 21632-2025 karta.png"/>
                    <pic:cNvPicPr/>
                  </pic:nvPicPr>
                  <pic:blipFill>
                    <a:blip r:embed="rId16"/>
                    <a:stretch>
                      <a:fillRect/>
                    </a:stretch>
                  </pic:blipFill>
                  <pic:spPr>
                    <a:xfrm>
                      <a:off x="0" y="0"/>
                      <a:ext cx="5486400" cy="5337821"/>
                    </a:xfrm>
                    <a:prstGeom prst="rect"/>
                  </pic:spPr>
                </pic:pic>
              </a:graphicData>
            </a:graphic>
          </wp:inline>
        </w:drawing>
      </w:r>
    </w:p>
    <w:p>
      <w:pPr>
        <w:pStyle w:val="Caption"/>
        <w:spacing w:after="240"/>
      </w:pPr>
      <w:r>
        <w:t>Figur 1. Fyndplatser för naturvårdsarter i och inom 14 meter från avverkningsanmälan. Markörer utan svart kant är placerade på fyndplatsen. Markörer med svart kant är placerade vid sidan av fyndplatsen och har ett svart streck som visar fyndplatsens exakta position. Kartans mittpunktskoordinat är N 6966410, E 412415 i SWEREF 99 TM.</w:t>
      </w:r>
    </w:p>
    <w:p>
      <w:r>
        <w:t>I och inom 14 meter från avverkningsanmälan finns fynd av 11 naturvårdsarter, varav 9 är rödlistade, 3 är fridlysta, 8 är typiska (T) och 2 är signalarter (S): garnlav (VU, T), gräddporing (VU, T), blanksvart spiklav (NT), talltagel (NT, T), tretåig hackspett (NT, T, §4), ullticka (NT, T), vedflamlav (NT), vedskivlav (NT, T), vitgrynig nållav (NT), plattlummer (S, T, §9) och spindelblomster (S, T, §8).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begär vidare att Skogsstyrelsen säkerställer att inga skador eller försämringar av naturtypens bevarandestatus i området tillåts ske. Se Rådets direktiv 92/43/EEG samt ickeförsämringskravet i EU:s naturrestaureringsförordning (EU 2024/1991).</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Gräddporing (VU)</w:t>
      </w:r>
      <w:r>
        <w:t xml:space="preserve"> växer nästan enbart i urskogsartad barrskog på gamla, kraftigt murkna, grova och mossbelupna tallågor i något fuktiga och skuggiga lägen. Arten är placerad högst upp i Skogsstyrelsens värdepyramid för bedömning av skog med höga naturvärden och indikerar gamla och relativt orörda tallnaturskogar med höga naturvärden där det under låg tid kontinuerligt funnits inslag av grova tallågor. För att på sikt hejda artens vikande trend behöver merparten av gräddporingens nu kända växtplatser undantas från skogsbruk. Gräddporing är typisk art för </w:t>
      </w:r>
      <w:r>
        <w:rPr>
          <w:i/>
        </w:rPr>
        <w:t>9010 Taiga</w:t>
      </w:r>
      <w:r>
        <w:t xml:space="preserve"> (SLU Artdatabanken, 2024; Nitare &amp; Skogsstyrelsen, 2019).</w:t>
      </w:r>
    </w:p>
    <w:p>
      <w:r>
        <w:rPr>
          <w:b/>
        </w:rPr>
        <w:t>Blanksvart spiklav (NT)</w:t>
      </w:r>
      <w:r>
        <w:t xml:space="preserve"> förekommer på torr, hård, gammal kärnved men även på äldre ytved av tall i naturskogsartade bestånd med begränsad brandpåverkan och ostörd hydrologi. Skogsbruksåtgärder på eller i närheten av lokaler med blanksvart spiklav utgör ett hot. Naturskogsartade öppna tall- och barrblandskogar med blanksvart spiklav indikerar höga biologiska värden och bör bevaras (SLU Artdatabanken, 2024).</w:t>
      </w:r>
    </w:p>
    <w:p>
      <w:r>
        <w:rPr>
          <w:b/>
        </w:rPr>
        <w:t>Talltagel (NT)</w:t>
      </w:r>
      <w:r>
        <w:t xml:space="preserve"> är en boreal art som förekommer på tall i äldre, öppna tallskogar. Den påverkas negativt av brist på kontinuitetsskog och minskningstakten bedöms vara nära gränsvärdet för Sårbar (VU). Talltagel är typisk art för </w:t>
      </w:r>
      <w:r>
        <w:rPr>
          <w:i/>
        </w:rPr>
        <w:t>9010 Taiga</w:t>
      </w:r>
      <w:r>
        <w:t xml:space="preserve"> (SLU Artdatabanken, 2026).</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Tretåig hackspett är typisk art för </w:t>
      </w:r>
      <w:r>
        <w:rPr>
          <w:i/>
        </w:rPr>
        <w:t xml:space="preserve">9010 Taiga, 9740 Skogsbevuxen myr, 9030 Landhöjningsskog </w:t>
      </w:r>
      <w:r>
        <w:t xml:space="preserve">och </w:t>
      </w:r>
      <w:r>
        <w:rPr>
          <w:i/>
        </w:rPr>
        <w:t>9040 Fjällbjörkskog</w:t>
      </w:r>
      <w:r>
        <w:t xml:space="preserve"> (Skogsstyrelsen, 2016; SLU Artdatabanken, 2024).</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de tre olika arterna ulltickeporing </w:t>
      </w:r>
      <w:r>
        <w:rPr>
          <w:i/>
        </w:rPr>
        <w:t xml:space="preserve">Skeletocutis brevispora </w:t>
      </w:r>
      <w:r>
        <w:t>(VU)</w:t>
      </w:r>
      <w:r>
        <w:rPr>
          <w:i/>
        </w:rPr>
        <w:t>, Skeletocutis delicata</w:t>
      </w:r>
      <w:r>
        <w:t xml:space="preserve"> (VU)</w:t>
      </w:r>
      <w:r>
        <w:rPr>
          <w:i/>
        </w:rPr>
        <w:t xml:space="preserve"> och Skeletocutis exilis</w:t>
      </w:r>
      <w:r>
        <w:t xml:space="preserve"> (NT). Ullticka är typisk art för </w:t>
      </w:r>
      <w:r>
        <w:rPr>
          <w:i/>
        </w:rPr>
        <w:t xml:space="preserve">9010 Taiga, 9050 Näringsrik granskog </w:t>
      </w:r>
      <w:r>
        <w:t xml:space="preserve">och </w:t>
      </w:r>
      <w:r>
        <w:rPr>
          <w:i/>
        </w:rPr>
        <w:t>9030 Landhöjningsskog</w:t>
      </w:r>
      <w:r>
        <w:t xml:space="preserve"> (SLU Artdatabanken, 2026; Nitare &amp; Skogsstyrelsen, 2019; Miettinen &amp; Niemelä, 2018).</w:t>
      </w:r>
    </w:p>
    <w:p>
      <w:r>
        <w:rPr>
          <w:b/>
        </w:rPr>
        <w:t>Vedflamlav (NT)</w:t>
      </w:r>
      <w:r>
        <w:t xml:space="preserve"> växer på gammal hård och torr, exponerad kärnved av tall, främst på högstubbar i ljusöppna lägen, t.ex. vid och på myrar, sjökanter, i glesa hällmarkskogar och i brandpräglade tallnaturskogar. Substratet nyskapas i begränsad omfattning och arten är en utmärkt indikator på höga naturvärden i denna skogstyp. Tall- och barrblandskogar med naturskogskaraktär och spår av bränder har ofta höga biologiska värden och bör skyddas. På vedflamlavens bål kan den sällsynta spiklaven/parasiten </w:t>
      </w:r>
      <w:r>
        <w:rPr>
          <w:i/>
        </w:rPr>
        <w:t>Calicium ramboldiicola</w:t>
      </w:r>
      <w:r>
        <w:t xml:space="preserve"> (VU) påträffas (SLU Artdatabanken, 2026).</w:t>
      </w:r>
    </w:p>
    <w:p>
      <w:r>
        <w:rPr>
          <w:b/>
        </w:rPr>
        <w:t>Vedskivlav (NT)</w:t>
      </w:r>
      <w:r>
        <w:t xml:space="preserve"> växer på gammal, torr, exponerad, hård kärnved av framförallt tall i naturskogsartade bestånd. Avverkning av tallskog av naturskogskaraktär med spår av återkommande bränder är ett hot. Mängden lämplig ved att växa på för vedskivlav minskar, dels på grund av naturlig nedbrytning men framförallt på grund av att de förstörs i samband med slutavverkningar, gallringar och markberedning. Tall- och blandbarrskogar av naturskogskaraktär med spår av återkommande bränder bör skyddas. Vedskivlav är typisk art för </w:t>
      </w:r>
      <w:r>
        <w:rPr>
          <w:i/>
        </w:rPr>
        <w:t>9010 Taiga</w:t>
      </w:r>
      <w:r>
        <w:t xml:space="preserve"> (SLU Artdatabanken, 2024).</w:t>
      </w:r>
    </w:p>
    <w:p>
      <w:r>
        <w:rPr>
          <w:b/>
        </w:rPr>
        <w:t>Vitgrynig nållav (NT)</w:t>
      </w:r>
      <w:r>
        <w:t xml:space="preserve"> växer nästan uteslutande på bark av gamla, senvuxna granar i skuggiga lägen med hög och jämn luftfuktighet. Den vanligaste naturtypen för arten är kontinuitetsskogar på frisk mark men den finns också i sumpgranskogar. På lång sikt utgör avverkningar av olikåldriga granskogar av naturskogskaraktär ett allvarligt hot mot arten och skogsbruksåtgärder på eller i närheten av växtplatserna bör undvikas. Naturskogsartade, fuktiga granskogar med förekomster av arten signalerar höga biologiska värden och bör bevaras (SLU Artdatabanken, 2024; Nitare &amp; Skogsstyrelsen, 2019).</w:t>
      </w:r>
    </w:p>
    <w:p>
      <w:r>
        <w:rPr>
          <w:b/>
        </w:rPr>
        <w:t>Plattlummer (§9)</w:t>
      </w:r>
      <w:r>
        <w:t xml:space="preserve"> växer främst i ljusöppna sandtallskogar eller annan gles, torr och brandpräglad hedbarrskog. Den är mest frekvent i olika typer av naturskogar och kontinuitetsskogar och missgynnas markant av slutavverkning och maskinell markberedning. Söder ut i landet förekommer de närstående arterna cypresslummer (EN, §8) och mellanlummer (NT, §9), vilka båda omfattas av EU:s art- och habitatdirektiv. Plattlummer är typisk art för </w:t>
      </w:r>
      <w:r>
        <w:rPr>
          <w:i/>
        </w:rPr>
        <w:t xml:space="preserve">9010 Taiga </w:t>
      </w:r>
      <w:r>
        <w:t>och</w:t>
      </w:r>
      <w:r>
        <w:rPr>
          <w:i/>
        </w:rPr>
        <w:t xml:space="preserve"> 2320 Rissandhedar </w:t>
      </w:r>
      <w:r>
        <w:t>(Nitare &amp; Skogsstyrelsen, 2019; SLU Artdatabanken, 2026).</w:t>
      </w:r>
    </w:p>
    <w:p>
      <w:r>
        <w:rPr>
          <w:b/>
        </w:rPr>
        <w:t>Spindelblomster (§8)</w:t>
      </w:r>
      <w:r>
        <w:t xml:space="preserve"> växer i äldre mossrik granskog eller barrblandskog, men även i fjällbjörkskog. Arten indikerar långvarig trädkontinuitet och hög luftfuktighet och är mycket känslig för uttorkning och markskador. Spindelblomster har i många trakter minskat starkt under senare tid på grund av slutavverkningar och skogsmarksdikning. Spindelblomster är typisk art för </w:t>
      </w:r>
      <w:r>
        <w:rPr>
          <w:i/>
        </w:rPr>
        <w:t xml:space="preserve">9010 Taiga, 9050 Näringsrik granskog </w:t>
      </w:r>
      <w:r>
        <w:t>och</w:t>
      </w:r>
      <w:r>
        <w:rPr>
          <w:i/>
        </w:rPr>
        <w:t xml:space="preserve"> 9040 Fjällbjörkskog</w:t>
      </w:r>
      <w:r>
        <w:t xml:space="preserve"> (Nitare &amp; Skogsstyrelsen, 2019; SLU Artdatabanken, 2025).</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pPr>
        <w:pStyle w:val="Heading1"/>
      </w:pPr>
      <w:r>
        <w:t>Typiska arter och EU:s art- och habitatdirektiv</w:t>
      </w:r>
    </w:p>
    <w:p>
      <w:r>
        <w:t>Typiska arter används för att lokalisera områden med gynnsam bevarandestatus för de naturtyper som är listade i EU:s art- och habitatdirektiv. Ett exempel är Västlig taiga (EU-kod 9010) som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w:t>
      </w:r>
    </w:p>
    <w:p>
      <w:r>
        <w:t>Följande typiska arter har sina livsmiljöer och växtplatser i den avverkningsanmälda skogen: garnlav (VU, T), gräddporing (VU, T), talltagel (NT, T), tretåig hackspett (NT, T, §4), ullticka (NT, T), vedskivlav (NT, T), plattlummer (S, T, §9) och spindelblomster (S, T, §8).</w:t>
      </w:r>
    </w:p>
    <w:p>
      <w:r>
        <w:t>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r>
        <w:t>Trots detta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w:t>
      </w:r>
      <w:r>
        <w:rPr>
          <w:b/>
        </w:rPr>
        <w:t xml:space="preserve"> </w:t>
      </w:r>
      <w:r>
        <w:t>inte har gynnsam bevarandestatus.</w:t>
      </w:r>
    </w:p>
    <w:p>
      <w:r>
        <w:t>Åtgärder som vidtas i enlighet med art- och habitatdirektivet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w:t>
      </w:r>
    </w:p>
    <w:p>
      <w:r>
        <w:t>EU-direktiv är bindande för EU:s medlemsländer varvid det ankommer på Skogsstyrelsen som nationell tillsynsmyndighet att beakta syftet med EU:s art- och habitatdirektiv vid prövningen av en skogsbruksverksamhet, se Rådets direktiv 92/43/EEG. Se ytterligare information om EU:s livsmiljödirektiv i bilaga 2.</w:t>
      </w:r>
    </w:p>
    <w:p>
      <w:r>
        <w:br w:type="page"/>
      </w:r>
    </w:p>
    <w:p>
      <w:pPr>
        <w:pStyle w:val="Title"/>
      </w:pPr>
      <w:r>
        <w:t>BILAGA 1 – Fridlysta arter</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r>
        <w:t xml:space="preserve"> (SLU Artdatabanken, 2024; Skogsstyrelsen, 2016)</w:t>
      </w:r>
      <w:r>
        <w:rPr>
          <w:i/>
        </w:rPr>
        <w: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(SLU Artdatabanken, 2024; Skogsstyrelsen, 2016).</w:t>
      </w:r>
    </w:p>
    <w:p>
      <w:r>
        <w:t xml:space="preserve">Förutom fridlysning enligt §4 Artskyddsförordningen är tretåig hackspett även förtecknad i EU:s fågeldirektiv bilaga 1. Den är typisk art för </w:t>
      </w:r>
      <w:r>
        <w:rPr>
          <w:i/>
        </w:rPr>
        <w:t xml:space="preserve">9010 Taiga, 9740 Skogsbevuxen myr, 9030 Landhöjningsskog </w:t>
      </w:r>
      <w:r>
        <w:t xml:space="preserve">och </w:t>
      </w:r>
      <w:r>
        <w:rPr>
          <w:i/>
        </w:rPr>
        <w:t>9040 Fjällbjörkskog</w:t>
      </w:r>
      <w:r>
        <w:t xml:space="preserve"> samt ingår i Natura 2000 och är förtecknad i Bernkonventionen bilaga II (strikt skyddade djurarter) (SLU Artdatabanken, 2024; Skogsstyrelsen, 2016).</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Vägledning för hänsyn till fåglar – Tretåig hackspett.</w:t>
      </w:r>
    </w:p>
    <w:p>
      <w:r>
        <w:t xml:space="preserve">SLU Artdatabanken, 2024. </w:t>
      </w:r>
      <w:r>
        <w:rPr>
          <w:i/>
        </w:rPr>
        <w:t xml:space="preserve">Artfaktablad. Naturvård – artfakta. </w:t>
      </w:r>
      <w:r>
        <w:t>SLU Artdatabanken, Uppsala.</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p>
      <w:r>
        <w:br w:type="page"/>
      </w:r>
    </w:p>
    <w:p>
      <w:pPr>
        <w:pStyle w:val="Title"/>
      </w:pPr>
      <w:r>
        <w:t>BILAGA 2 – EU:s art- och habitatdirektiv, fågeldirektiv och naturrestaureringsförordning</w:t>
      </w:r>
    </w:p>
    <w:p>
      <w:pPr>
        <w:pStyle w:val="Heading2"/>
      </w:pPr>
      <w:r>
        <w:t>Förenlighet med EU-direktiv</w:t>
      </w:r>
    </w:p>
    <w:p>
      <w:r>
        <w:t>EU-direktiv är bindande för EU:s medlemsländer varvid det ankommer på Skogsstyrelsen som nationell tillsynsmyndighet att beakta syftet med EU:s art- och habitatdirektiv respektive fågeldirektiv vid prövningen av en skogsbruksverksamhet, se Rådets direktiv 92/43/EEG samt 2009/147/EG. Nationella regler som omfattas av ett EU-direktiv ska enligt fast rättspraxis tolkas i enlighet med direktivet, vilket medför en skyldighet för myndigheten att tolka bestämmelser i nationell rätt i ljuset av direktivets ordalydelse, sammanhang och de mål som eftersträvas med direktivet (se EU-domstolens dom i mål C 477/19).</w:t>
      </w:r>
    </w:p>
    <w:p>
      <w:r>
        <w:t>EU:s medlemsstater åläggs i Artikel 3 i fågeldirektivet generella skyldigheter avseende skydd, bevarande och återställande av tillräckligt stora och varierande livsmiljöer för de fågelarter som omfattas av direktivet. Medlemsstaterna ska vidta de åtgärder som är nödvändiga för att bibehålla populationen av fågelarterna på en nivå som svarar särskilt mot ekologiska, vetenskapliga och kulturella behov, eller återupprätta populationen av dessa arter till en sådan nivå (se Europaparlamentets och rådets direktiv 2009/147/EG).</w:t>
      </w:r>
    </w:p>
    <w:p>
      <w:r>
        <w:t>Åtgärder som vidtas i enlighet med art- och habitatdirektivet (92/43/EEG)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 Typiska arter används för att lokalisera områden med gynnsam bevarandestatus för de naturtyper som ingår i EU:s art- och habitatdirektiv.</w:t>
      </w:r>
    </w:p>
    <w:p>
      <w:r>
        <w:t>Västlig taiga (EU-kod 9010)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 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pPr>
        <w:pStyle w:val="Caption"/>
      </w:pPr>
      <w:r>
        <w:drawing>
          <wp:inline xmlns:a="http://schemas.openxmlformats.org/drawingml/2006/main" xmlns:pic="http://schemas.openxmlformats.org/drawingml/2006/picture">
            <wp:extent cx="5486400" cy="2905862"/>
            <wp:docPr id="2" name="Picture 2"/>
            <wp:cNvGraphicFramePr>
              <a:graphicFrameLocks noChangeAspect="1"/>
            </wp:cNvGraphicFramePr>
            <a:graphic>
              <a:graphicData uri="http://schemas.openxmlformats.org/drawingml/2006/picture">
                <pic:pic>
                  <pic:nvPicPr>
                    <pic:cNvPr id="0" name="uppföljning av västlig taiga.jpeg"/>
                    <pic:cNvPicPr/>
                  </pic:nvPicPr>
                  <pic:blipFill>
                    <a:blip r:embed="rId17"/>
                    <a:stretch>
                      <a:fillRect/>
                    </a:stretch>
                  </pic:blipFill>
                  <pic:spPr>
                    <a:xfrm>
                      <a:off x="0" y="0"/>
                      <a:ext cx="5486400" cy="2905862"/>
                    </a:xfrm>
                    <a:prstGeom prst="rect"/>
                  </pic:spPr>
                </pic:pic>
              </a:graphicData>
            </a:graphic>
          </wp:inline>
        </w:drawing>
      </w:r>
    </w:p>
    <w:p>
      <w:pPr>
        <w:pStyle w:val="Caption"/>
      </w:pPr>
      <w:r>
        <w:t>EU:s uppföljning av tillståndet för naturtypen Västlig taiga 9010 i Skandinavien 2013 - 2018. Av kartan framgår det att i den boreala regionen är tillståndet så dåligt (röd färg) att habitatet löper allvarlig risk att försvinna regionalt. Källa: European Environment Agency. https:// eunis.eea.europoa.eu/habitats/10176.</w:t>
      </w:r>
    </w:p>
    <w:p>
      <w:r>
        <w:t>Trots det allvarliga läget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 inte har gynnsam bevarandestatus.</w:t>
      </w:r>
    </w:p>
    <w:p>
      <w:pPr>
        <w:pStyle w:val="Heading2"/>
      </w:pPr>
      <w:r>
        <w:t>EU:s naturrestaureringsförordning</w:t>
      </w:r>
    </w:p>
    <w:p>
      <w:r>
        <w:t>Enligt EU:s naturrestaureringsförordning (EU 2024/1991) ska minst 20 % av landområden och minst 20 % av havsarealen vara restaurerad senast 2030, samt alla ekosystem som är i behov av restaurering senast 2050. Det framgår också av förordningen att det är viktigt att livsmiljötyperna inte försämras innan eller efter att restaureringar genomförts, se exempelvis punkt 37 förordningen.</w:t>
      </w:r>
    </w:p>
    <w:p>
      <w:r>
        <w:t>”</w:t>
      </w:r>
      <w:r>
        <w:rPr>
          <w:i/>
        </w:rPr>
        <w:t>Det är viktigt att medlemsstaterna vidtar åtgärder som syftar till att säkerställa att tillståndet för områden som täcks av livsmiljötyper som omfattas av denna förordning och som omfattas av restaureringsåtgärder uppvisar en kontinuerlig förbättring till dess att de uppnår ett gott tillstånd, och att medlemsstaterna vidtar åtgärder som syftar till att säkerställa att dessa livsmiljötyper, när de har uppnått ett gott tillstånd, inte försämras avsevärt, så att det långsiktiga bibehållandet eller uppnåendet av gott tillstånd inte äventyras. (..) Det är också viktigt att medlemsstaterna anstränger sig för att förhindra avsevärd försämring av områden som täcks av sådana livsmiljötyper som antingen redan är i gott skick eller som inte är i gott skick men ännu inte omfattas av restaureringsåtgärder.”</w:t>
      </w:r>
    </w:p>
    <w:p>
      <w:r>
        <w:rPr>
          <w:b/>
          <w:i/>
        </w:rPr>
        <w:t>Artikel 4(12):</w:t>
      </w:r>
    </w:p>
    <w:p>
      <w:r>
        <w:rPr>
          <w:i/>
        </w:rPr>
        <w:t>Utan att det påverkar tillämpningen av direktiv 92/43/EEG ska medlemsstaterna, senast den dag då deras nationella restaureringsplaner offentliggörs i enlighet med artikel 17.6 i denna förordning, eftersträva att genomföra de åtgärder som krävs för att förhindra avsevärd försämring av områden där de livsmiljötyper som förtecknas i bilaga I till denna förordning förekommer och som är i gott tillstånd eller som krävs för att uppnå de restaureringsmål som anges i punkt 17 i den här artikeln.</w:t>
      </w:r>
    </w:p>
    <w:p>
      <w:r>
        <w:rPr>
          <w:b/>
          <w:i/>
        </w:rPr>
        <w:t>Artikel 4 (17).   Medlemsstaterna ska säkerställa</w:t>
      </w:r>
    </w:p>
    <w:p>
      <w:r>
        <w:rPr>
          <w:i/>
        </w:rPr>
        <w:t>a) en ökning av arealen i gott tillstånd för de livsmiljötyper som förtecknas i bilaga I till dess att minst 90 % är i gott tillstånd och till dess att den gynnsamma referensarealen för varje livsmiljötyp i varje biogeografisk region inom den berörda medlemsstaten har uppnåtts.</w:t>
      </w:r>
    </w:p>
    <w:p>
      <w:r>
        <w:t>Referenser</w:t>
      </w:r>
    </w:p>
    <w:p>
      <w:r>
        <w:t xml:space="preserve">EEA European Environment Agency, 2022. </w:t>
      </w:r>
      <w:r>
        <w:rPr>
          <w:i/>
        </w:rPr>
        <w:t xml:space="preserve">Western taiga – Conservation status 2013-2018. </w:t>
      </w:r>
      <w:r>
        <w:t>https:// eunis.eea.europoa.eu/habitats/10176.</w:t>
      </w:r>
    </w:p>
    <w:p>
      <w:r>
        <w:t>EU-domstolens dom av den 2 juli 2020 i målet C 477/19 (Europeisk hamster) p. 23.</w:t>
      </w:r>
    </w:p>
    <w:p>
      <w:r>
        <w:t>EU-domstolens dom av den 4 mars 2021 i de förenade målen C 473-19 och C 474-19 (Skydda skogen) p. 70 och 76.</w:t>
      </w:r>
    </w:p>
    <w:p>
      <w:r>
        <w:t>Europaparlamentets och rådets direktiv 2009/147/EG av den 30 november 2009 om bevarande av vilda fåglar.</w:t>
      </w:r>
    </w:p>
    <w:p>
      <w:r>
        <w:t>EUROPAPARLAMENTETS OCH RÅDETS FÖRORDNING (EU) 2024/1991 av den 24 juni 2024 om restaurering av natur och om ändring av förordning (EU) 2022/869.</w:t>
      </w:r>
    </w:p>
    <w:p>
      <w:r>
        <w:t>Rådets direktiv 92/43/EEG av den 21 mj 1992 om bevarande av livsmiljöer samt vilda djur och växter.</w:t>
      </w:r>
    </w:p>
    <w:p>
      <w:r>
        <w:t xml:space="preserve">Skogsstyrelsen, 2026. </w:t>
      </w:r>
      <w:r>
        <w:rPr>
          <w:i/>
        </w:rPr>
        <w:t>Biologisk mångfald i skogen.</w:t>
      </w:r>
      <w:r>
        <w:t xml:space="preserve"> Rapport 2026/07.</w:t>
      </w:r>
    </w:p>
    <w:p>
      <w:r>
        <w:t xml:space="preserve">SLU Artdatabanken, 2019. </w:t>
      </w:r>
      <w:r>
        <w:rPr>
          <w:i/>
        </w:rPr>
        <w:t>Sveriges arter och naturtyper i EU:s art- och habitatdirektiv.</w:t>
      </w:r>
      <w:r>
        <w:t xml:space="preserve"> Resultat från rapportering 2019 till EU av bevarandestatus 2013-2018.</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2026-10-21</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