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24 meter från avverkningsanmälan finns fynd av 20 naturvårdsarter, varav 15 är rödlistade, 3 är fridlysta, 11 är typiska (T) och 4 är signalarter (S): urskogsporing (EN), gräddporing (VU, T), spadskinn (VU), dropptaggsvamp (NT, T), dvärgbägarlav (NT, T), kolflarnlav (NT, T), nordtagging (NT), svartvit taggsvamp (NT), talltagel (NT, T), talltaggsvamp (NT), talltita (NT, §4), tretåig hackspett (NT, T, §4), vaddporing (NT), vedflamlav (NT), vedskivlav (NT, T), tibast (S, T), underviol (S, T), vedticka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talltagel (NT, T), tretåig hackspett (NT, T, §4), vedskivlav (NT, T), tibast (S, T), underviol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