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30334-2024 i Bergs kommun</w:t>
      </w:r>
    </w:p>
    <w:p>
      <w:r>
        <w:t>Detta dokument behandlar höga naturvärden i avverkningsanmälan A 30334-2024 i Bergs kommun som inkom 2024-07-17 och omfattar 1,8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879408"/>
            <wp:docPr id="1" name="Picture 1"/>
            <wp:cNvGraphicFramePr>
              <a:graphicFrameLocks noChangeAspect="1"/>
            </wp:cNvGraphicFramePr>
            <a:graphic>
              <a:graphicData uri="http://schemas.openxmlformats.org/drawingml/2006/picture">
                <pic:pic>
                  <pic:nvPicPr>
                    <pic:cNvPr id="0" name="A 30334-2024 karta.png"/>
                    <pic:cNvPicPr/>
                  </pic:nvPicPr>
                  <pic:blipFill>
                    <a:blip r:embed="rId16"/>
                    <a:stretch>
                      <a:fillRect/>
                    </a:stretch>
                  </pic:blipFill>
                  <pic:spPr>
                    <a:xfrm>
                      <a:off x="0" y="0"/>
                      <a:ext cx="5486400" cy="4879408"/>
                    </a:xfrm>
                    <a:prstGeom prst="rect"/>
                  </pic:spPr>
                </pic:pic>
              </a:graphicData>
            </a:graphic>
          </wp:inline>
        </w:drawing>
      </w:r>
    </w:p>
    <w:p>
      <w:pPr>
        <w:pStyle w:val="Caption"/>
        <w:spacing w:after="240"/>
      </w:pPr>
      <w:r>
        <w:t>Figur 1. Fyndplatser för naturvårdsarter i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6968536, E 427637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gräddporing (VU, T) och dvärgbägarlav (NT, T). Av dessa är 2 rödlistade. För rödlistade arter har rödlistekategorin angivits inom parentes. Typiska arter inom Natura 2000 som är kopplade till skogsekosystem har markerats med (T).</w:t>
      </w:r>
    </w:p>
    <w:p>
      <w:r>
        <w:t>De påträffade naturvårdsarterna är ett tydligt kvitto på att det rör sig om en skog med höga naturvärden.</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