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25 meter från avverkningsanmälan finns fynd av 6 naturvårdsarter, varav 5 är rödlistade, 2 är fridlysta, 5 är typiska (T) och 1 är signalart (S): gräddporing (VU, T), skuggblåslav (NT, T), talltagel (NT, T), tretåig hackspett (NT, T, §4),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