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31958-2026 i Härjedalens kommun</w:t>
      </w:r>
    </w:p>
    <w:p>
      <w:r>
        <w:t>Detta klagomål behandlar höga naturvärden i avverkningsanmälan A 31958-2026 i Härjedalens kommun som inkom 2026-07-29 och omfattar 18,5 ha.</w:t>
      </w:r>
    </w:p>
    <w:p>
      <w:pPr>
        <w:pStyle w:val="Caption"/>
      </w:pPr>
      <w:r>
        <w:drawing>
          <wp:inline xmlns:a="http://schemas.openxmlformats.org/drawingml/2006/main" xmlns:pic="http://schemas.openxmlformats.org/drawingml/2006/picture">
            <wp:extent cx="5486400" cy="5498640"/>
            <wp:docPr id="1" name="Picture 1"/>
            <wp:cNvGraphicFramePr>
              <a:graphicFrameLocks noChangeAspect="1"/>
            </wp:cNvGraphicFramePr>
            <a:graphic>
              <a:graphicData uri="http://schemas.openxmlformats.org/drawingml/2006/picture">
                <pic:pic>
                  <pic:nvPicPr>
                    <pic:cNvPr id="0" name="A 31958-2026 karta.png"/>
                    <pic:cNvPicPr/>
                  </pic:nvPicPr>
                  <pic:blipFill>
                    <a:blip r:embed="rId16"/>
                    <a:stretch>
                      <a:fillRect/>
                    </a:stretch>
                  </pic:blipFill>
                  <pic:spPr>
                    <a:xfrm>
                      <a:off x="0" y="0"/>
                      <a:ext cx="5486400" cy="549864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6854724, E 477154 i SWEREF 99 TM.</w:t>
      </w:r>
    </w:p>
    <w:p>
      <w:r>
        <w:t>I och inom 25 meter från avverkningsanmälan finns fynd av 44 naturvårdsarter, varav 35 är rödlistade, 5 är fridlysta, 27 är typiska (T) och 5 är signalarter (S): Abrothallus diederichii (VU), fläckporing (VU, T), garnlav (VU, T), gräddporing (VU, T), gräddticka (VU), gränsticka (VU, T), knärot (VU, T, §8), vedsäckmossa (VU), baltiskt skogsfly (NT), blanksvart spiklav (NT), dropptaggsvamp (NT, T), dvärgbägarlav (NT, T), grå blåbärsfältmätare (NT), kattfotslav (NT, T), kolflarnlav (NT, T), kortskaftad ärgspik (NT), kådvaxskinn (NT), labyrintlav (NT), lunglav (NT, T), mörk kolflarnlav (NT), nordlig nållav (NT), nordtagging (NT), orange taggsvamp (NT, T), rosa skärelav (NT, T), rödfläckigt jordfly (NT), skarp dropptaggsvamp (NT), skrovellav (NT, T), skuggblåslav (NT, T), tretåig hackspett (NT, T, §4), vaddporing (NT), varglav (NT, §8), vedflamlav (NT), vedskivlav (NT, T), vedtrappmossa (NT, T), violettgrå tagellav (NT, T), korallblylav (S, T), luddlav (S, T), norrlandslav (S, T), rostfläck (S, T), stuplav (S, T), mjölig knopplav (T), spillkråka (T, §4),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80 fyndplatser för knärot registrerade på Artportalen. Figur 2 visar gränserna för buffertzoner på 50 m, som behöver lämnas kring fyndplatserna för att knärotslokalerna inte ska försvinna vid en avverkning. Av det avverkningsanmälda området överlappar 14.60 ha med buffertzonerna och får av detta skäl inte avverkas.</w:t>
      </w:r>
    </w:p>
    <w:p>
      <w:pPr>
        <w:pStyle w:val="Caption"/>
      </w:pPr>
      <w:r>
        <w:drawing>
          <wp:inline xmlns:a="http://schemas.openxmlformats.org/drawingml/2006/main" xmlns:pic="http://schemas.openxmlformats.org/drawingml/2006/picture">
            <wp:extent cx="5486400" cy="6974847"/>
            <wp:docPr id="2" name="Picture 2"/>
            <wp:cNvGraphicFramePr>
              <a:graphicFrameLocks noChangeAspect="1"/>
            </wp:cNvGraphicFramePr>
            <a:graphic>
              <a:graphicData uri="http://schemas.openxmlformats.org/drawingml/2006/picture">
                <pic:pic>
                  <pic:nvPicPr>
                    <pic:cNvPr id="0" name="A 31958-2026 karta knärot.png"/>
                    <pic:cNvPicPr/>
                  </pic:nvPicPr>
                  <pic:blipFill>
                    <a:blip r:embed="rId17"/>
                    <a:stretch>
                      <a:fillRect/>
                    </a:stretch>
                  </pic:blipFill>
                  <pic:spPr>
                    <a:xfrm>
                      <a:off x="0" y="0"/>
                      <a:ext cx="5486400" cy="6974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6854724, E 477154 i SWEREF 99 TM.</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Labyrintlav (NT) </w:t>
      </w:r>
      <w:r>
        <w:t>är en skorplav som växer på fuktiga, hårda lodytor av silikat- och diabasklippor skuggade av barrskog, oftast dominerad av gran. Luftfuktigheten är hög och lokalerna är skyddade mot starkt direkt solljus. Skogsavverkning som exponerar klippväggar med labyrintlav för direkt solljus eller sänker luftfuktigheten är sannolikt det största hotet. Ett antal lokaler måste skyddas och lämnas för fri utveckling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Mjölig knopplav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