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56483-2023 i Härjedalens kommun</w:t>
      </w:r>
    </w:p>
    <w:p>
      <w:r>
        <w:t>Detta klagomål behandlar höga naturvärden i avverkningsanmälan A 56483-2023 i Härjedalens kommun som inkom 2023-11-13 och omfattar 7,3 ha.</w:t>
      </w:r>
    </w:p>
    <w:p>
      <w:pPr>
        <w:pStyle w:val="Caption"/>
      </w:pPr>
      <w:r>
        <w:drawing>
          <wp:inline xmlns:a="http://schemas.openxmlformats.org/drawingml/2006/main" xmlns:pic="http://schemas.openxmlformats.org/drawingml/2006/picture">
            <wp:extent cx="5486400" cy="4903386"/>
            <wp:docPr id="1" name="Picture 1"/>
            <wp:cNvGraphicFramePr>
              <a:graphicFrameLocks noChangeAspect="1"/>
            </wp:cNvGraphicFramePr>
            <a:graphic>
              <a:graphicData uri="http://schemas.openxmlformats.org/drawingml/2006/picture">
                <pic:pic>
                  <pic:nvPicPr>
                    <pic:cNvPr id="0" name="A 56483-2023 karta.png"/>
                    <pic:cNvPicPr/>
                  </pic:nvPicPr>
                  <pic:blipFill>
                    <a:blip r:embed="rId16"/>
                    <a:stretch>
                      <a:fillRect/>
                    </a:stretch>
                  </pic:blipFill>
                  <pic:spPr>
                    <a:xfrm>
                      <a:off x="0" y="0"/>
                      <a:ext cx="5486400" cy="4903386"/>
                    </a:xfrm>
                    <a:prstGeom prst="rect"/>
                  </pic:spPr>
                </pic:pic>
              </a:graphicData>
            </a:graphic>
          </wp:inline>
        </w:drawing>
      </w:r>
    </w:p>
    <w:p>
      <w:pPr>
        <w:pStyle w:val="Caption"/>
        <w:spacing w:after="240"/>
      </w:pPr>
      <w:r>
        <w:t>Figur 1. Fyndplatser för naturvårdsarter i och inom 24 meter från avverkningsanmälan. Markörer utan svart kant är placerade på fyndplatsen. Markörer med svart kant är placerade vid sidan av fyndplatsen och har ett svart streck som visar fyndplatsens exakta position. Kartans mittpunktskoordinat är N 6928224, E 370367 i SWEREF 99 TM.</w:t>
      </w:r>
    </w:p>
    <w:p>
      <w:r>
        <w:t>I och inom 24 meter från avverkningsanmälan finns fynd av 6 naturvårdsarter, varav 6 är rödlistade, 1 är fridlyst och 3 är typiska (T): garnlav (VU, T), blanksvart spiklav (NT), blågrå svartspik (NT), tretåig hackspett (NT, T, §4), ullticka (NT, T) och vedflamlav (NT).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Blågrå svartspik (NT)</w:t>
      </w:r>
      <w:r>
        <w:t xml:space="preserve"> växer på torr, hård ved av gamla, solbelysta torrakor, högstubbar av tall och grova döda grenar på levande tallar i öppna bestånd av naturskogskaraktär. Nästan alltid rör det sig om tjärrika torrträd och högstubbar (töreved, keloträd) som kan vara en bra bit över hundra år, i vissa fall sannolikt hundratals år gamla. Skogsbruk är idag det allvarligaste hotet. Ett långsiktigt hot är att nybildningen av gamla torrakor och högstubbar är en långsam process vilken ofta är beroende av skogsbrand. Nytt substrat bildas numera sannolikt nästan inte alls då antalet naturliga skogsbränder har minskat drastiskt på grund av effektivare brandbekämpning. Döda träd som lämnas efter avverkning är inte lämpliga för arten, eftersom dessa träd inte varit utsatta för skogsbrand och bildat tjärrik ved. Skogsbruksåtgärder på eller i närheten av växtplatserna bör undvikas. Naturskogsartade skogar med förekomst av arten indikerar höga biologiska värden och bör bevaras. Blågrå svartspik har en mycket begränsad utbredning utanför de nordiska länderna varför dessa länder har ett speciellt ansvar för arten (SLU Artdatabanken, 2024).</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Vedflamlav (NT)</w:t>
      </w:r>
      <w:r>
        <w:t xml:space="preserve"> växer på gammal hård och torr, exponerad kärnved av tall, främst på högstubbar i ljusöppna lägen, t.ex. vid och på myrar, sjökanter, i glesa hällmarkskogar och i brandpräglade tallnaturskogar. Substratet nyskapas i begränsad omfattning och arten är en utmärkt indikator på höga naturvärden i denna skogstyp. Tall- och barrblandskogar med naturskogskaraktär och spår av bränder har ofta höga biologiska värden och bör skyddas. På vedflamlavens bål kan den sällsynta spiklaven/parasiten </w:t>
      </w:r>
      <w:r>
        <w:rPr>
          <w:i/>
        </w:rPr>
        <w:t>Calicium ramboldiicola</w:t>
      </w:r>
      <w:r>
        <w:t xml:space="preserve"> (VU) påträffas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6 naturvårdsarter varav 6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2026-10-27</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