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42834-2026 i Härjedalens kommun</w:t>
      </w:r>
    </w:p>
    <w:p>
      <w:r>
        <w:t>Detta klagomål behandlar höga naturvärden i avverkningsanmälan A 42834-2026 i Härjedalens kommun som inkom 2026-10-15 och omfattar 2,9 ha.</w:t>
      </w:r>
    </w:p>
    <w:p>
      <w:pPr>
        <w:pStyle w:val="Caption"/>
      </w:pPr>
      <w:r>
        <w:drawing>
          <wp:inline xmlns:a="http://schemas.openxmlformats.org/drawingml/2006/main" xmlns:pic="http://schemas.openxmlformats.org/drawingml/2006/picture">
            <wp:extent cx="5486400" cy="4923042"/>
            <wp:docPr id="1" name="Picture 1"/>
            <wp:cNvGraphicFramePr>
              <a:graphicFrameLocks noChangeAspect="1"/>
            </wp:cNvGraphicFramePr>
            <a:graphic>
              <a:graphicData uri="http://schemas.openxmlformats.org/drawingml/2006/picture">
                <pic:pic>
                  <pic:nvPicPr>
                    <pic:cNvPr id="0" name="A 42834-2026 karta.png"/>
                    <pic:cNvPicPr/>
                  </pic:nvPicPr>
                  <pic:blipFill>
                    <a:blip r:embed="rId16"/>
                    <a:stretch>
                      <a:fillRect/>
                    </a:stretch>
                  </pic:blipFill>
                  <pic:spPr>
                    <a:xfrm>
                      <a:off x="0" y="0"/>
                      <a:ext cx="5486400" cy="4923042"/>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6917568, E 491378 i SWEREF 99 TM.</w:t>
      </w:r>
    </w:p>
    <w:p>
      <w:r>
        <w:t>I och inom 24 meter från avverkningsanmälan finns fynd av 9 naturvårdsarter, varav 6 är rödlistade, 6 är typiska (T) och 3 är signalarter (S): kolflarnlav (NT, T), lunglav (NT, T), mörk kolflarnlav (NT), nordlig nållav (NT), vedflamlav (NT), vedskivlav (NT, T), bårdlav (S, T), korallblylav (S,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Nordlig nållav (NT)</w:t>
      </w:r>
      <w:r>
        <w:t xml:space="preserve"> signalerar alltid miljöer med höga naturvärden. På lokalerna förekommer nästan alltid andra rödlistade eller ovanliga arter knutna till gamla skogar. Alla skogsskötselåtgärder på eller i omedelbar närhet av lokalerna utgör ett hot. Några av lavens rikaste förekomster bör skyddas (SLU Artdatabanken, 2024;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