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1186-2025 i Härjedalens kommun</w:t>
      </w:r>
    </w:p>
    <w:p>
      <w:r>
        <w:t>Denna tillsynsbegäran behandlar höga naturvärden i samrådsanmälan S 1186-2025 i Härjedalens kommun som inkom 2025-04-10 och omfattar 17,9 ha.</w:t>
      </w:r>
    </w:p>
    <w:p>
      <w:pPr>
        <w:pStyle w:val="Caption"/>
      </w:pPr>
      <w:r>
        <w:drawing>
          <wp:inline xmlns:a="http://schemas.openxmlformats.org/drawingml/2006/main" xmlns:pic="http://schemas.openxmlformats.org/drawingml/2006/picture">
            <wp:extent cx="4766066" cy="5724000"/>
            <wp:docPr id="1" name="Picture 1"/>
            <wp:cNvGraphicFramePr>
              <a:graphicFrameLocks noChangeAspect="1"/>
            </wp:cNvGraphicFramePr>
            <a:graphic>
              <a:graphicData uri="http://schemas.openxmlformats.org/drawingml/2006/picture">
                <pic:pic>
                  <pic:nvPicPr>
                    <pic:cNvPr id="0" name="S 1186-2025 karta.png"/>
                    <pic:cNvPicPr/>
                  </pic:nvPicPr>
                  <pic:blipFill>
                    <a:blip r:embed="rId16"/>
                    <a:stretch>
                      <a:fillRect/>
                    </a:stretch>
                  </pic:blipFill>
                  <pic:spPr>
                    <a:xfrm>
                      <a:off x="0" y="0"/>
                      <a:ext cx="476606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6854544, E 487646 i SWEREF 99 TM.</w:t>
      </w:r>
    </w:p>
    <w:p>
      <w:r>
        <w:t>I samrådsanmälan finns fynd av 5 naturvårdsarter, varav 5 är rödlistade och 4 är typiska (T): dropptaggsvamp (NT, T), motaggsvamp (NT, T), talltagel (NT, T), talltaggsvamp (NT)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