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dokument behandlar höga naturvärden i avverkningsanmälan A 18885-2024 i Härjedalens kommun som inkom 2024-05-14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drillsnäppa (NT, §4), månlåsbräken (NT), grönkulla (S, T, §8), korallrot (S, T, §8), källmossor (S), spindelblomster (S, T, §8), tvåblad (S, §8), vanlig groda (§6), brudsporre (§8), fläcknycklar (§8), ängsnycklar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82614" cy="5688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28261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6952275, E 367168 i SWEREF 99 TM.</w:t>
      </w:r>
    </w:p>
    <w:p>
      <w:pPr>
        <w:pStyle w:val="Heading2"/>
      </w:pPr>
      <w:r>
        <w:t>Fridlysta arter</w:t>
      </w:r>
    </w:p>
    <w:p>
      <w:r>
        <w:t>Följande fridlysta arter har sina livsmiljöer och växtplatser i den avverkningsanmälda skogen: drillsnäppa (NT, §4), grönkulla (S, T, §8), korallrot (S, T, §8), spindelblomster (S, T, §8), tvåblad (S, §8), vanlig groda (§6), brudsporre (§8), fläcknycklar (§8), ängsnycklar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