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36198-2026 i Härjedalens kommun</w:t>
      </w:r>
    </w:p>
    <w:p>
      <w:r>
        <w:t>Denna tillsynsbegäran behandlar höga naturvärden i avverkningsanmälan A 36198-2026 i Härjedalens kommun som inkom 2026-09-02 och omfattar 7,7 ha.</w:t>
      </w:r>
    </w:p>
    <w:p>
      <w:pPr>
        <w:pStyle w:val="Caption"/>
      </w:pPr>
      <w:r>
        <w:drawing>
          <wp:inline xmlns:a="http://schemas.openxmlformats.org/drawingml/2006/main" xmlns:pic="http://schemas.openxmlformats.org/drawingml/2006/picture">
            <wp:extent cx="5486400" cy="4745964"/>
            <wp:docPr id="1" name="Picture 1"/>
            <wp:cNvGraphicFramePr>
              <a:graphicFrameLocks noChangeAspect="1"/>
            </wp:cNvGraphicFramePr>
            <a:graphic>
              <a:graphicData uri="http://schemas.openxmlformats.org/drawingml/2006/picture">
                <pic:pic>
                  <pic:nvPicPr>
                    <pic:cNvPr id="0" name="A 36198-2026 karta.png"/>
                    <pic:cNvPicPr/>
                  </pic:nvPicPr>
                  <pic:blipFill>
                    <a:blip r:embed="rId16"/>
                    <a:stretch>
                      <a:fillRect/>
                    </a:stretch>
                  </pic:blipFill>
                  <pic:spPr>
                    <a:xfrm>
                      <a:off x="0" y="0"/>
                      <a:ext cx="5486400" cy="4745964"/>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6897458, E 426153 i SWEREF 99 TM.</w:t>
      </w:r>
    </w:p>
    <w:p>
      <w:r>
        <w:t>I och inom 25 meter från avverkningsanmälan finns fynd av 13 naturvårdsarter, varav 11 är rödlistade, 7 är typiska (T) och 1 är signalart (S): goliatmusseron (VU, T), gräddporing (VU, T), skrovlig taggsvamp (VU), tallmusseron (VU), blå taggsvamp (NT, T), dropptaggsvamp (NT, T), dvärgbägarlav (NT, T), nordtagging (NT), tallriska (NT), vaddporing (NT), vaxspindling (NT), skinnlav (S, T) och svart taggsvamp agg.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Tallmusseron (VU)</w:t>
      </w:r>
      <w:r>
        <w:t xml:space="preserve"> bildar mykorrhiza med tall och kräver troligen lång trädkontinuitet. De flesta fynd är gjorda i sandtallskogar. Slutavverkning, kraftig gallring eller andra skogsbruksåtgärder på sandiga tallhedar, som medför att trädkontinuiteten bryts, utgör största hotet. Tallmusseron är placerad högst upp i Skogsstyrelsens värdepyramid för bedömning av skog med höga naturvärden och globalt rödlistad som nära hotad (NT) vilket innebär att Sverige har ett internationellt ansvar för arten. Kända lokaler bör undantas från storskaligt skogsbruk (IUCN, 2025; SLU Artdatabanken, 2024; Nitare &amp; Skogsstyrelsen, 2019).</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Vaxspindling (NT)</w:t>
      </w:r>
      <w:r>
        <w:t xml:space="preserve"> växer främst i äldre skogar på sandig mark där den bildar mykorrhiza med tall, framförallt på sandiga lavtallhedar. Mager, sandig och brandpräglad tallskog med lång trädkontinuitet bör undantas från trakthyggesbruk och inte kalavverkas. De mest värdefulla lokalerna bör få ett långsiktigt skydd med naturvårdsinriktad skötsel. Arten är placerad högst upp i Skogsstyrelsens värdepyramid för bedömning av skog med höga naturvärden och den är globalt rödlistad som nära hotad (NT), vilket medför ett internationellt ansvar för arten (SLU Artdatabanken, 2024; Nitare &amp; Skogsstyrelsen, 2019; IUCN,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Svart taggsvamp agg. </w:t>
      </w:r>
      <w:r>
        <w:t xml:space="preserve">har visat sig bestå av fyra olika arter: </w:t>
      </w:r>
      <w:r>
        <w:rPr>
          <w:i/>
        </w:rPr>
        <w:t>Phellodon melilotinus</w:t>
      </w:r>
      <w:r>
        <w:t xml:space="preserve"> (VU), </w:t>
      </w:r>
      <w:r>
        <w:rPr>
          <w:i/>
        </w:rPr>
        <w:t>Phellodon aquiloniniger</w:t>
      </w:r>
      <w:r>
        <w:t xml:space="preserve"> (NT), </w:t>
      </w:r>
      <w:r>
        <w:rPr>
          <w:i/>
        </w:rPr>
        <w:t>Phellodon frondosoniger</w:t>
      </w:r>
      <w:r>
        <w:t xml:space="preserve"> (NT) och svart taggsvamp </w:t>
      </w:r>
      <w:r>
        <w:rPr>
          <w:i/>
        </w:rPr>
        <w:t>Phellodon niger</w:t>
      </w:r>
      <w:r>
        <w:t xml:space="preserve"> (NT). De olika arterna är mykorrhizasvampar med olika utbredning och ekologi som kan påträffas både i barr- och lövskogar. Samtliga arterna är rödlistade och signalerar skogsområden med höga naturvärden (SLU Artdatabanken, 2026;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goliatmusseron (VU, T), gräddporing (VU, T), blå taggsvamp (NT, T), dropptaggsvamp (NT, T), dvärgbägarlav (NT, T), skinnlav (S, T) och svart taggsvamp agg.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