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42444-2023 i Härjedalens kommun</w:t>
      </w:r>
    </w:p>
    <w:p>
      <w:r>
        <w:t>Denna tillsynsbegäran behandlar höga naturvärden i avverkningsanmälan A 42444-2023 i Härjedalens kommun som inkom 2023-09-11 och omfattar 20,7 ha.</w:t>
      </w:r>
    </w:p>
    <w:p>
      <w:pPr>
        <w:pStyle w:val="Caption"/>
      </w:pPr>
      <w:r>
        <w:drawing>
          <wp:inline xmlns:a="http://schemas.openxmlformats.org/drawingml/2006/main" xmlns:pic="http://schemas.openxmlformats.org/drawingml/2006/picture">
            <wp:extent cx="4591002" cy="5724000"/>
            <wp:docPr id="1" name="Picture 1"/>
            <wp:cNvGraphicFramePr>
              <a:graphicFrameLocks noChangeAspect="1"/>
            </wp:cNvGraphicFramePr>
            <a:graphic>
              <a:graphicData uri="http://schemas.openxmlformats.org/drawingml/2006/picture">
                <pic:pic>
                  <pic:nvPicPr>
                    <pic:cNvPr id="0" name="A 42444-2023 karta.png"/>
                    <pic:cNvPicPr/>
                  </pic:nvPicPr>
                  <pic:blipFill>
                    <a:blip r:embed="rId16"/>
                    <a:stretch>
                      <a:fillRect/>
                    </a:stretch>
                  </pic:blipFill>
                  <pic:spPr>
                    <a:xfrm>
                      <a:off x="0" y="0"/>
                      <a:ext cx="4591002" cy="5724000"/>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6953611, E 385388 i SWEREF 99 TM.</w:t>
      </w:r>
    </w:p>
    <w:p>
      <w:r>
        <w:t>I och inom 14 meter från avverkningsanmälan finns fynd av 16 naturvårdsarter, varav 12 är rödlistade, 2 är fridlysta, 11 är typiska (T) och 4 är signalarter (S): garnlav (VU, T), gräddporing (VU, T), liten sotlav (VU, T), blanksvart spiklav (NT), blågrå svartspik (NT), gammelgransskål (NT, T), knottrig blåslav (NT, T), talltita (NT, §4), tretåig hackspett (NT, T, §4), vaddporing (NT), vedflamlav (NT), vedskivlav (NT, T), bårdlav (S, T), skinnlav (S, T), sotlav (S, T)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Liten sotlav (VU)</w:t>
      </w:r>
      <w:r>
        <w:t xml:space="preserve"> förekommer i gamla brandrefugiala boreala granskogar där den oftast påträffas på grovbarkiga, senvuxna, mycket gamla granar. Arten är en av de mest krävande arterna i fuktig grannaturskog och är placerad högst upp i Skogsstyrelsens värdepyramid för bedömning av skog med höga naturvärden. Samtliga förekomster bör skyddas. Liten sotlav är typisk art för </w:t>
      </w:r>
      <w:r>
        <w:rPr>
          <w:i/>
        </w:rPr>
        <w:t>9010 Taiga</w:t>
      </w:r>
      <w:r>
        <w:t xml:space="preserve"> (SLU Artdatabanken, 2024; Nitare &amp; Skogsstyrelsen, 2019).</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Sotlav</w:t>
      </w:r>
      <w:r>
        <w:t xml:space="preserve"> är överallt en mycket bra signalart och visar alltid på skogsmiljöer med höga naturvärden. Den indikerar långvarig förekomst av gamla eller döda träd. På lavens växtlokaler finns vanligen många andra ovanliga arter. Sotlav är typisk art för </w:t>
      </w:r>
      <w:r>
        <w:rPr>
          <w:i/>
        </w:rPr>
        <w:t xml:space="preserve">9010 Taiga </w:t>
      </w:r>
      <w:r>
        <w:t>och</w:t>
      </w:r>
      <w:r>
        <w:rPr>
          <w:i/>
        </w:rPr>
        <w:t xml:space="preserve"> 9070 Trädklädd betesmark</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gräddporing (VU, T), liten sotlav (VU, T), gammelgransskål (NT, T), knottrig blåslav (NT, T), tretåig hackspett (NT, T, §4), vedskivlav (NT, T), bårdlav (S, T), skinnlav (S, T), sotlav (S, T) och stuplav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