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50438-2022 i Härjedalens kommun</w:t>
      </w:r>
    </w:p>
    <w:p>
      <w:r>
        <w:t>Denna tillsynsbegäran behandlar höga naturvärden i avverkningsanmälan A 50438-2022 i Härjedalens kommun som inkom 2022-11-01 och omfattar 4,6 ha.</w:t>
      </w:r>
    </w:p>
    <w:p>
      <w:pPr>
        <w:pStyle w:val="Caption"/>
      </w:pPr>
      <w:r>
        <w:drawing>
          <wp:inline xmlns:a="http://schemas.openxmlformats.org/drawingml/2006/main" xmlns:pic="http://schemas.openxmlformats.org/drawingml/2006/picture">
            <wp:extent cx="3924186" cy="5724000"/>
            <wp:docPr id="1" name="Picture 1"/>
            <wp:cNvGraphicFramePr>
              <a:graphicFrameLocks noChangeAspect="1"/>
            </wp:cNvGraphicFramePr>
            <a:graphic>
              <a:graphicData uri="http://schemas.openxmlformats.org/drawingml/2006/picture">
                <pic:pic>
                  <pic:nvPicPr>
                    <pic:cNvPr id="0" name="A 50438-2022 karta.png"/>
                    <pic:cNvPicPr/>
                  </pic:nvPicPr>
                  <pic:blipFill>
                    <a:blip r:embed="rId16"/>
                    <a:stretch>
                      <a:fillRect/>
                    </a:stretch>
                  </pic:blipFill>
                  <pic:spPr>
                    <a:xfrm>
                      <a:off x="0" y="0"/>
                      <a:ext cx="3924186"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6873533, E 461350 i SWEREF 99 TM.</w:t>
      </w:r>
    </w:p>
    <w:p>
      <w:r>
        <w:t>I och inom 1 meter från avverkningsanmälan finns fynd av 2 naturvårdsarter, varav 2 är rödlistade, 1 är fridlyst och 2 är typiska (T): knärot (VU, T, §8) och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15 fyndplatser för knärot registrerade på Artportalen. Figur 2 visar gränserna för buffertzoner på 50 m, som behöver lämnas kring fyndplatserna för att knärotslokalerna inte ska försvinna vid en avverkning. Av det avverkningsanmälda området överlappar 2.90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50438-2022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6873533, E 461350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