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296-2024 i Härjedalens kommun</w:t>
      </w:r>
    </w:p>
    <w:p>
      <w:r>
        <w:t>Denna tillsynsbegäran behandlar höga naturvärden i samrådsanmälan S 296-2024 i Härjedalens kommun som inkom 2024-02-01 och omfattar 585,9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S 296-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6900162, E 507528 i SWEREF 99 TM.</w:t>
      </w:r>
    </w:p>
    <w:p>
      <w:r>
        <w:t>I och inom 24 meter från samrådsanmälan finns fynd av 19 naturvårdsarter, varav 7 är rödlistade, 10 är fridlysta, 13 är typiska (T) och 6 är signalarter (S): garnlav (VU, T), knärot (VU, T, §8), blå taggsvamp (NT, T), duvhök (NT, §4), kungsörn (NT, §4), lunglav (NT, T), violettgrå tagellav (NT, T), bollvitmossa (S, T), grönpyrola (S, T), norrlandslav (S, T), nästlav (S, T), plattlummer (S, T, §9), stuplav (S, T), spillkråka (T, §4), tjäder (T, §4), grönsiska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S 296-2024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6900162, E 507528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blå taggsvamp (NT, T), lunglav (NT, T), violettgrå tagellav (NT, T), bollvitmossa (S, T), grönpyrola (S, T), norrlandslav (S, T), nästlav (S, T), plattlummer (S, T, §9),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