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31367-2025 i Härjedalens kommun</w:t>
      </w:r>
    </w:p>
    <w:p>
      <w:r>
        <w:t>Detta klagomål behandlar höga naturvärden i avverkningsanmälan A 31367-2025 i Härjedalens kommun som inkom 2025-06-25 och omfattar 31,8 ha.</w:t>
      </w:r>
    </w:p>
    <w:p>
      <w:pPr>
        <w:pStyle w:val="Caption"/>
      </w:pPr>
      <w:r>
        <w:drawing>
          <wp:inline xmlns:a="http://schemas.openxmlformats.org/drawingml/2006/main" xmlns:pic="http://schemas.openxmlformats.org/drawingml/2006/picture">
            <wp:extent cx="5486400" cy="4185501"/>
            <wp:docPr id="1" name="Picture 1"/>
            <wp:cNvGraphicFramePr>
              <a:graphicFrameLocks noChangeAspect="1"/>
            </wp:cNvGraphicFramePr>
            <a:graphic>
              <a:graphicData uri="http://schemas.openxmlformats.org/drawingml/2006/picture">
                <pic:pic>
                  <pic:nvPicPr>
                    <pic:cNvPr id="0" name="A 31367-2025 karta.png"/>
                    <pic:cNvPicPr/>
                  </pic:nvPicPr>
                  <pic:blipFill>
                    <a:blip r:embed="rId16"/>
                    <a:stretch>
                      <a:fillRect/>
                    </a:stretch>
                  </pic:blipFill>
                  <pic:spPr>
                    <a:xfrm>
                      <a:off x="0" y="0"/>
                      <a:ext cx="5486400" cy="4185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6852798, E 436754 i SWEREF 99 TM.</w:t>
      </w:r>
    </w:p>
    <w:p>
      <w:r>
        <w:t>I avverkningsanmälan finns fynd av 11 naturvårdsarter, varav 10 är rödlistade, 3 är fridlysta och 6 är typiska (T): garnlav (VU, T), blanksvart spiklav (NT), blågrå svartspik (NT), dvärgbägarlav (NT, T), kolflarnlav (NT, T), lavskrika (NT, T, §4), mörk kolflarnlav (NT), talltita (NT, §4), vedflamlav (NT),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