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5221-2025 i Härjedalens kommun</w:t>
      </w:r>
    </w:p>
    <w:p>
      <w:r>
        <w:t>Detta klagomål behandlar höga naturvärden i avverkningsanmälan A 5221-2025 i Härjedalens kommun som inkom 2025-02-03 och omfattar 60,3 ha.</w:t>
      </w:r>
    </w:p>
    <w:p>
      <w:pPr>
        <w:pStyle w:val="Caption"/>
      </w:pPr>
      <w:r>
        <w:drawing>
          <wp:inline xmlns:a="http://schemas.openxmlformats.org/drawingml/2006/main" xmlns:pic="http://schemas.openxmlformats.org/drawingml/2006/picture">
            <wp:extent cx="5155320" cy="5724000"/>
            <wp:docPr id="1" name="Picture 1"/>
            <wp:cNvGraphicFramePr>
              <a:graphicFrameLocks noChangeAspect="1"/>
            </wp:cNvGraphicFramePr>
            <a:graphic>
              <a:graphicData uri="http://schemas.openxmlformats.org/drawingml/2006/picture">
                <pic:pic>
                  <pic:nvPicPr>
                    <pic:cNvPr id="0" name="A 5221-2025 karta.png"/>
                    <pic:cNvPicPr/>
                  </pic:nvPicPr>
                  <pic:blipFill>
                    <a:blip r:embed="rId16"/>
                    <a:stretch>
                      <a:fillRect/>
                    </a:stretch>
                  </pic:blipFill>
                  <pic:spPr>
                    <a:xfrm>
                      <a:off x="0" y="0"/>
                      <a:ext cx="515532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6919624, E 449088 i SWEREF 99 TM.</w:t>
      </w:r>
    </w:p>
    <w:p>
      <w:r>
        <w:t>I och inom 23 meter från avverkningsanmälan finns fynd av 23 naturvårdsarter, varav 17 är rödlistade, 3 är fridlysta, 19 är typiska (T) och 5 är signalarter (S): fjällig knopplav (VU), garnlav (VU, T), gräddporing (VU, T), gränsticka (VU, T), skuggnål (VU), brunpudrad nållav (NT, T), doftskinn (NT, T), dvärgbägarlav (NT, T), gammelgransskål (NT, T), gullpudra (NT, T), knottrig blåslav (NT, T), nordlig nållav (NT), rosenticka (NT, T), skrovellav (NT, T), tretåig hackspett (NT, T, §4), vedtrappmossa (NT, T), violettgrå tagellav (NT, T), korallblylav (S, T), luddlav (S, T), spindelblomster (S, T, §8), stuplav (S, T), trådticka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knopplav (VU)</w:t>
      </w:r>
      <w:r>
        <w:t xml:space="preserve"> växer på gamla granar i grandominerade skogar med hög och jämn luftfuktighet. Avverkning av kontinuitetsskog i norra Sverige är ett hot. Alla växtplatser måste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