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57804-2024 i Härjedalens kommun</w:t>
      </w:r>
    </w:p>
    <w:p>
      <w:r>
        <w:t>Denna tillsynsbegäran behandlar höga naturvärden i avverkningsanmälan A 57804-2024 i Härjedalens kommun som inkom 2024-12-05 och omfattar 161,6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57804-2024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6943179, E 446784 i SWEREF 99 TM.</w:t>
      </w:r>
    </w:p>
    <w:p>
      <w:r>
        <w:t>I och inom 22 meter från avverkningsanmälan finns fynd av 17 naturvårdsarter, varav 15 är rödlistade, 1 är fridlyst, 13 är typiska (T) och 2 är signalarter (S): garnlav (VU, T), gränsticka (VU, T), lappticka (VU, T), blanksvart spiklav (NT), blågrå svartspik (NT), doftskinn (NT, T), gammelgransskål (NT, T), harticka (NT, T), knottrig blåslav (NT, T), rosenticka (NT, T), tretåig hackspett (NT, T, §4), ullticka (NT, T), vedtrappmossa (NT, T), violmussling (NT, T), vitgrynig nållav (NT),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doftskinn (NT, T), gammelgransskål (NT, T), harticka (NT, T), knottrig blåslav (NT, T), rosenticka (NT, T), tretåig hackspett (NT, T, §4), ullticka (NT, T), vedtrappmossa (NT, T), violmussling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