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57804-2024 i Härjedalens kommun</w:t>
      </w:r>
    </w:p>
    <w:p>
      <w:r>
        <w:t>Detta klagomål behandlar höga naturvärden i avverkningsanmälan A 57804-2024 i Härjedalens kommun som inkom 2024-12-05 och omfattar 161,6 ha.</w:t>
      </w:r>
    </w:p>
    <w:p>
      <w:pPr>
        <w:pStyle w:val="Caption"/>
      </w:pPr>
      <w:r>
        <w:drawing>
          <wp:inline xmlns:a="http://schemas.openxmlformats.org/drawingml/2006/main" xmlns:pic="http://schemas.openxmlformats.org/drawingml/2006/picture">
            <wp:extent cx="5486400" cy="3437013"/>
            <wp:docPr id="1" name="Picture 1"/>
            <wp:cNvGraphicFramePr>
              <a:graphicFrameLocks noChangeAspect="1"/>
            </wp:cNvGraphicFramePr>
            <a:graphic>
              <a:graphicData uri="http://schemas.openxmlformats.org/drawingml/2006/picture">
                <pic:pic>
                  <pic:nvPicPr>
                    <pic:cNvPr id="0" name="A 57804-2024 karta.png"/>
                    <pic:cNvPicPr/>
                  </pic:nvPicPr>
                  <pic:blipFill>
                    <a:blip r:embed="rId16"/>
                    <a:stretch>
                      <a:fillRect/>
                    </a:stretch>
                  </pic:blipFill>
                  <pic:spPr>
                    <a:xfrm>
                      <a:off x="0" y="0"/>
                      <a:ext cx="5486400" cy="3437013"/>
                    </a:xfrm>
                    <a:prstGeom prst="rect"/>
                  </pic:spPr>
                </pic:pic>
              </a:graphicData>
            </a:graphic>
          </wp:inline>
        </w:drawing>
      </w:r>
    </w:p>
    <w:p>
      <w:pPr>
        <w:pStyle w:val="Caption"/>
        <w:spacing w:after="240"/>
      </w:pPr>
      <w:r>
        <w:t>Figur 1. Fyndplatser för naturvårdsarter i och inom 22 meter från avverkningsanmälan. Markörer utan svart kant är placerade på fyndplatsen. Markörer med svart kant är placerade vid sidan av fyndplatsen och har ett svart streck som visar fyndplatsens exakta position. Kartans mittpunktskoordinat är N 6943179, E 446784 i SWEREF 99 TM.</w:t>
      </w:r>
    </w:p>
    <w:p>
      <w:r>
        <w:t>I och inom 22 meter från avverkningsanmälan finns fynd av 17 naturvårdsarter, varav 15 är rödlistade, 1 är fridlyst, 13 är typiska (T) och 2 är signalarter (S): garnlav (VU, T), gränsticka (VU, T), lappticka (VU, T), blanksvart spiklav (NT), blågrå svartspik (NT), doftskinn (NT, T), gammelgransskål (NT, T), harticka (NT, T), knottrig blåslav (NT, T), rosenticka (NT, T), tretåig hackspett (NT, T, §4), ullticka (NT, T), vedtrappmossa (NT, T), violmussling (NT, T), vitgrynig nållav (NT), vedticka (S, T) och vågbandad barkbock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Lappticka (VU)</w:t>
      </w:r>
      <w:r>
        <w:t xml:space="preserve">, rödlistad som sårbar, är knuten till gamla granskogar med riklig förekomst av död ved. Den klassas som en “urskogsindikator” och alla skogsskötselåtgärder på eller i omedelbar närhet av lokalerna utgör ett hot. Lappticka är typisk art för </w:t>
      </w:r>
      <w:r>
        <w:rPr>
          <w:i/>
        </w:rPr>
        <w:t>9010 Taiga</w:t>
      </w:r>
      <w:r>
        <w:t xml:space="preserve"> (Nitare &amp; Skogsstyrelsen, 2019;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gul mjukporing (CR), lämmelporing (CR), kilporing (VU), parasitporing (VU), gropig brunbagge (NT), gulbandad brunbagge</w:t>
      </w:r>
      <w:r>
        <w:rPr>
          <w:i/>
        </w:rPr>
        <w:t xml:space="preserve"> </w:t>
      </w:r>
      <w:r>
        <w:t>(NT) och brunkantad brunbagge</w:t>
      </w:r>
      <w:r>
        <w:rPr>
          <w:i/>
        </w:rPr>
        <w:t xml:space="preserve"> </w:t>
      </w:r>
      <w:r>
        <w:t xml:space="preserve">(DD). Violmussling är typisk art för </w:t>
      </w:r>
      <w:r>
        <w:rPr>
          <w:i/>
        </w:rPr>
        <w:t>9010 Taiga</w:t>
      </w:r>
      <w:r>
        <w:t xml:space="preserve"> (SLU Artdatabanken, 2026;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17 naturvårdsarter varav 15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