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och omfattar 18,3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blanksvart spiklav (NT), blågrå svartspik (NT), dvärgbägarlav (NT), garnlav (NT), gränsticka (NT), knottrig blåslav (NT), kolflarnlav (NT), kortskaftad ärgspik (NT), ladlav (NT), lunglav (NT), mörk kolflarnlav (NT), nordtagging (NT), vaddporing (NT), vedflamlav (NT), vedskivlav (NT)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6918491, E 447348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5.99 ha med buffertzonerna och får av detta skäl inte avverkas.</w:t>
      </w:r>
    </w:p>
    <w:p>
      <w:pPr>
        <w:pStyle w:val="Caption"/>
      </w:pPr>
      <w:r>
        <w:drawing>
          <wp:inline xmlns:a="http://schemas.openxmlformats.org/drawingml/2006/main" xmlns:pic="http://schemas.openxmlformats.org/drawingml/2006/picture">
            <wp:extent cx="5486400" cy="4596170"/>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4596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6918491, E 447348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