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18687"/>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18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71 fyndplatser för knärot registrerade på Artportalen. Figur 2 visar gränserna för buffertzoner på 50 m, som behöver lämnas kring fyndplatserna för att knärotslokalerna inte ska försvinna vid en avverkning. Av det avverkningsanmälda området överlappar 13.27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