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58107-2025 i Härjedalens kommun</w:t>
      </w:r>
    </w:p>
    <w:p>
      <w:r>
        <w:t>Denna tillsynsbegäran behandlar höga naturvärden i avverkningsanmälan A 58107-2025 i Härjedalens kommun som inkom 2025-11-21 och omfattar 20,0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58107-2025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6923870, E 444307 i SWEREF 99 TM.</w:t>
      </w:r>
    </w:p>
    <w:p>
      <w:r>
        <w:t>I och inom 7 meter från avverkningsanmälan finns fynd av 35 naturvårdsarter, varav 26 är rödlistade, 5 är fridlysta, 23 är typiska (T) och 9 är signalarter (S): Phellodon resupinatus (EN), fläckporing (VU, T), gräddporing (VU, T), gränsticka (VU, T), knärot (VU, T, §8), sprickporing (VU), torrmusseron (VU), blanksvart spiklav (NT), blå taggsvamp (NT, T), brunpudrad nållav (NT, T), dropptaggsvamp (NT, T), dvärgbägarlav (NT, T), hornvaxskinn (NT), kolflarnlav (NT, T), lunglav (NT, T), motaggsvamp (NT, T), mörk kolflarnlav (NT), nordtagging (NT), skrovellav (NT, T), slåtterfibbla (NT, T), talltita (NT, §4), tretåig hackspett (NT, T, §4), ullticka (NT, T), vedflamlav (NT), vedskivlav (NT, T), vitplätt (NT), bårdlav (S, T), grönpyrola (S, T), gullgröppa (S), korallrot (S, T, §8), luddlav (S, T), mörk husmossa (S, T), plattlummer (S, T, §9), strimspindling (S)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Phellodon resupinatus </w:t>
      </w:r>
      <w:r>
        <w:rPr>
          <w:b/>
        </w:rPr>
        <w:t xml:space="preserve">(EN) </w:t>
      </w:r>
      <w:r>
        <w:t>är en starkt hotad lädertaggsvamp som bildar mykorrhiza med tall i brandpräglad torr tallskog med lång kontinuitet, på sandig mark eller sandig-grusig morän. Fruktkropparna bildas mot undersidan av gammal tallved, så kallad silverved eller keloved, av varierande dimension. Silverveden är ofta kolad av äldre bränder men fruktkropparna förekommer även på ved som saknar kolad yta. Den totala populationen i landet bedöms ha minskat kraftigt och förväntas fortsätta minska på grund av slutavverkning av brandpräglad äldre tallskog och brist på ved av lämplig kvalitet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3.50 ha med buffertzonerna och får av detta skäl inte avverkas.</w:t>
      </w:r>
    </w:p>
    <w:p>
      <w:pPr>
        <w:pStyle w:val="Caption"/>
      </w:pPr>
      <w:r>
        <w:drawing>
          <wp:inline xmlns:a="http://schemas.openxmlformats.org/drawingml/2006/main" xmlns:pic="http://schemas.openxmlformats.org/drawingml/2006/picture">
            <wp:extent cx="5486400" cy="5687718"/>
            <wp:docPr id="2" name="Picture 2"/>
            <wp:cNvGraphicFramePr>
              <a:graphicFrameLocks noChangeAspect="1"/>
            </wp:cNvGraphicFramePr>
            <a:graphic>
              <a:graphicData uri="http://schemas.openxmlformats.org/drawingml/2006/picture">
                <pic:pic>
                  <pic:nvPicPr>
                    <pic:cNvPr id="0" name="A 58107-2025 karta knärot.png"/>
                    <pic:cNvPicPr/>
                  </pic:nvPicPr>
                  <pic:blipFill>
                    <a:blip r:embed="rId17"/>
                    <a:stretch>
                      <a:fillRect/>
                    </a:stretch>
                  </pic:blipFill>
                  <pic:spPr>
                    <a:xfrm>
                      <a:off x="0" y="0"/>
                      <a:ext cx="5486400" cy="5687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6923870, E 444307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gränsticka (VU, T), knärot (VU, T, §8), blå taggsvamp (NT, T), brunpudrad nållav (NT, T), dropptaggsvamp (NT, T), dvärgbägarlav (NT, T), kolflarnlav (NT, T), lunglav (NT, T), motaggsvamp (NT, T), skrovellav (NT, T), slåtterfibbla (NT, T), tretåig hackspett (NT, T, §4), ullticka (NT, T), vedskivlav (NT, T), bårdlav (S, T), grönpyrola (S, T), korallrot (S, T, §8), luddlav (S, T), mörk husmossa (S, T), plattlummer (S, T, §9)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