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35369-2024 i Härjedalens kommun</w:t>
      </w:r>
    </w:p>
    <w:p>
      <w:r>
        <w:t>Detta dokument behandlar höga naturvärden i avverkningsanmälan A 35369-2024 i Härjedalens kommun. Denna avverkningsanmälan inkom 2024-08-27 00:00:00 och omfattar 1,7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10 naturvårdsarter hittats: rynkskinn (VU), sprickporing (VU), garnlav (NT), granticka (NT), skrovellav (NT), tretåig hackspett (NT, §4), ullticka (NT), vitgrynig nållav (NT), vedticka (S) och ögonpyrola (S). Av dessa är 8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03399"/>
            <wp:docPr id="1" name="Picture 1"/>
            <wp:cNvGraphicFramePr>
              <a:graphicFrameLocks noChangeAspect="1"/>
            </wp:cNvGraphicFramePr>
            <a:graphic>
              <a:graphicData uri="http://schemas.openxmlformats.org/drawingml/2006/picture">
                <pic:pic>
                  <pic:nvPicPr>
                    <pic:cNvPr id="0" name="A 35369-2024 karta.png"/>
                    <pic:cNvPicPr/>
                  </pic:nvPicPr>
                  <pic:blipFill>
                    <a:blip r:embed="rId16"/>
                    <a:stretch>
                      <a:fillRect/>
                    </a:stretch>
                  </pic:blipFill>
                  <pic:spPr>
                    <a:xfrm>
                      <a:off x="0" y="0"/>
                      <a:ext cx="5486400" cy="460339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6932513, E 375550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Sprickporing (VU)</w:t>
      </w:r>
      <w:r>
        <w:t>, rödlistad som sårbar, är en sällsynt art som växer på senvuxen gran i lågproduktiva miljöer, ett substrat som nybildas i mycket liten skala i modern produktionsskog. Arten bedöms ha minskat kraftigt, med mer än 30 % över de senaste 20 åren, huvudsakligen på grund av slutavverkningar. I bestånd där arten förekommer måste skogsbruk undvikas. Fler av artens lokaler bör skyddas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 xml:space="preserve">Ögonpyrola </w:t>
      </w:r>
      <w:r>
        <w:t>är normalt en bra signalart som visar på områden med höga naturvärden och stabila förhållanden, särskilt inom näringsfattiga trakter. Växten är mycket känslig för markskador och försvinner snabbt efter slutavverkning. Den hotas också av skogsgödsling och markavvattning (Nitare &amp; Skogsstyrelsen, 2019).</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10 naturvårdsarter varav 8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