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28 naturvårdsarter, varav 25 är rödlistade, 4 är fridlysta, 13 är typiska (T) och 3 är signalarter (S): fläckporing (VU, T), garnlav (VU, T), gräddporing (VU, T), gränsticka (VU, T), Lecidea subhumida (VU), smalfotad taggsvamp (VU), spadskinn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