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32573-2024 i Härjedalens kommun</w:t>
      </w:r>
    </w:p>
    <w:p>
      <w:r>
        <w:t>Detta dokument behandlar höga naturvärden i avverkningsanmälan A 32573-2024 i Härjedalens kommun. Denna avverkningsanmälan inkom 2024-08-09 och omfattar 37,7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grantickeporing (VU), gräddporing (VU), liten sotlav (VU), sprickporing (VU), blanksvart spiklav (NT), blågrå svartspik (NT), dvärgbägarlav (NT), gammelgransskål (NT), garnlav (NT), granticka (NT), harticka (NT), ladlav (NT), rosenticka (NT), spillkråka (NT, §4), talltita (NT, §4), tretåig hackspett (NT, §4), ullticka (NT), varglav (NT, §8), vedflamlav (NT), vedskivlav (NT), vedtrappmossa (NT), vitgrynig nållav (NT), kornig nållav (S), plattlummer (S, §9), spindelblomster (S, §8), ögonpyrola (S) och lavskrika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2573-2024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6919950, E 380328 i SWEREF 99 TM.</w:t>
      </w:r>
    </w:p>
    <w:p>
      <w:pPr>
        <w:pStyle w:val="Heading1"/>
      </w:pPr>
      <w:r>
        <w:t>Fridlysta arter</w:t>
      </w:r>
    </w:p>
    <w:p>
      <w:r>
        <w:t>Följande fridlysta arter har sina livsmiljöer och växtplatser i den avverkningsanmälda skogen: spillkråka (NT, §4), talltita (NT, §4), tretåig hackspett (NT, §4), varglav (NT, §8), plattlummer (S, §9),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