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31328-2022 i Härjedalens kommun</w:t>
      </w:r>
    </w:p>
    <w:p>
      <w:r>
        <w:t>Detta klagomål behandlar höga naturvärden i avverkningsanmälan A 31328-2022 i Härjedalens kommun som inkom 2022-08-01 och omfattar 10,9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31328-2022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6940885, E 369156 i SWEREF 99 TM.</w:t>
      </w:r>
    </w:p>
    <w:p>
      <w:r>
        <w:t>I och inom 17 meter från avverkningsanmälan finns fynd av 13 naturvårdsarter, varav 11 är rödlistade, 4 är fridlysta och 9 är typiska (T): garnlav (VU, T), blanksvart spiklav (NT), gammelgransskål (NT, T), halmgul örnlav (NT), harticka (NT, T), lavskrika (NT, T, §4), rödbrun blekspik (NT, T), tretåig hackspett (NT, T, §4), ullticka (NT, T), vedskivlav (NT, T), vitgrynig nållav (NT),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Halmgul örnlav (NT)</w:t>
      </w:r>
      <w:r>
        <w:t xml:space="preserve"> växer på bark och ved av gran och tall, oftast på riktigt gamla träd i gles boreal kontinuitetsskog eller myrkanter. Avverkning av boreal kontinuitetsskog är ett hot och skogsbruksåtgärder på eller i närheten av växtplatserna bör undvikas. Naturskogsartade skogar med förekomst av arten indikerar höga biologiska värden och bör bevaras. Särskilt angeläget är detta i naturskogsartade barrskogar.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