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33058-2022 i Härjedalens kommun</w:t>
      </w:r>
    </w:p>
    <w:p>
      <w:r>
        <w:t>Denna tillsynsbegäran behandlar höga naturvärden i avverkningsanmälan A 33058-2022 i Härjedalens kommun som inkom 2022-08-12 och omfattar 25,3 ha.</w:t>
      </w:r>
    </w:p>
    <w:p>
      <w:pPr>
        <w:pStyle w:val="Caption"/>
      </w:pPr>
      <w:r>
        <w:drawing>
          <wp:inline xmlns:a="http://schemas.openxmlformats.org/drawingml/2006/main" xmlns:pic="http://schemas.openxmlformats.org/drawingml/2006/picture">
            <wp:extent cx="4978503" cy="5724000"/>
            <wp:docPr id="1" name="Picture 1"/>
            <wp:cNvGraphicFramePr>
              <a:graphicFrameLocks noChangeAspect="1"/>
            </wp:cNvGraphicFramePr>
            <a:graphic>
              <a:graphicData uri="http://schemas.openxmlformats.org/drawingml/2006/picture">
                <pic:pic>
                  <pic:nvPicPr>
                    <pic:cNvPr id="0" name="A 33058-2022 karta.png"/>
                    <pic:cNvPicPr/>
                  </pic:nvPicPr>
                  <pic:blipFill>
                    <a:blip r:embed="rId16"/>
                    <a:stretch>
                      <a:fillRect/>
                    </a:stretch>
                  </pic:blipFill>
                  <pic:spPr>
                    <a:xfrm>
                      <a:off x="0" y="0"/>
                      <a:ext cx="4978503"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6938088, E 368585 i SWEREF 99 TM.</w:t>
      </w:r>
    </w:p>
    <w:p>
      <w:r>
        <w:t>I och inom 25 meter från avverkningsanmälan finns fynd av 31 naturvårdsarter, varav 21 är rödlistade, 7 är fridlysta, 22 är typiska (T) och 7 är signalarter (S): garnlav (VU, T), grantickeporing (VU), gränsticka (VU, T), kristallticka (VU), liten sotlav (VU, T), skuggnål (VU), sprickporing (VU), brunpudrad nållav (NT, T), gammelgransskål (NT, T), halmgul örnlav (NT), harticka (NT, T), knottrig blåslav (NT, T), lavskrika (NT, T, §4), rosenticka (NT, T), rynkskinn (NT, T), rödbrun blekspik (NT, T), talltita (NT, §4), tretåig hackspett (NT, T, §4), ullticka (NT, T), vedtrappmossa (NT, T), vitgrynig nållav (NT), blodticka (S, T), kornig nållav (S, T), spindelblomster (S, T, §8), stuplav (S, T), trådticka (S, T), vedticka (S, T), vågbandad barkbock (S), spillkråka (T, §4), tjäder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Kristallticka (VU)</w:t>
      </w:r>
      <w:r>
        <w:t xml:space="preserve"> är en mycket krävande art som växer i urskogsartade barrnaturskogar där det finns rikligt med grov död ved i olika nedbrytningsstadier. Den är placerad högst upp i Skogsstyrelsens värdepyramid för bedömning av skog med höga naturvärden och är en av våra främsta naturvärdesindikatorer på skyddsvärda barrnaturskogar. Alla skogsskötselåtgärder på eller i omedelbar närhet av lokalerna påverkar arten negativt liksom den minskande andelen död ved i kulturskogarna (SLU Artdatabanken, 2024;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Halmgul örnlav (NT)</w:t>
      </w:r>
      <w:r>
        <w:t xml:space="preserve"> växer på bark och ved av gran och tall, oftast på riktigt gamla träd i gles boreal kontinuitetsskog eller myrkanter. Avverkning av boreal kontinuitetsskog är ett hot och skogsbruksåtgärder på eller i närheten av växtplatserna bör undvikas. Naturskogsartade skogar med förekomst av arten indikerar höga biologiska värden och bör bevaras. Särskilt angeläget är detta i naturskogsartade barrskogar. Minskningstakten för den svenska populationen bedöms vara nära gränsvärdet för Sårbar (VU)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liten sotlav (VU, T), brunpudrad nållav (NT, T), gammelgransskål (NT, T), harticka (NT, T), knottrig blåslav (NT, T), lavskrika (NT, T, §4), rosenticka (NT, T), rynkskinn (NT, T), rödbrun blekspik (NT, T), tretåig hackspett (NT, T, §4), ullticka (NT, T), vedtrappmossa (NT, T), blodticka (S, T), kornig nållav (S, T), spindelblomster (S, T, §8), stuplav (S, T), trådticka (S, T),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